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25" w:rsidRDefault="00FA6325" w:rsidP="00663E01">
      <w:pPr>
        <w:shd w:val="clear" w:color="auto" w:fill="FFFFFF"/>
        <w:spacing w:after="0" w:line="321" w:lineRule="atLeast"/>
        <w:rPr>
          <w:rFonts w:ascii="Helvetica" w:eastAsia="Times New Roman" w:hAnsi="Helvetica" w:cs="Times New Roman"/>
          <w:color w:val="525253"/>
          <w:sz w:val="20"/>
          <w:szCs w:val="20"/>
        </w:rPr>
      </w:pPr>
    </w:p>
    <w:p w:rsidR="006468DE" w:rsidRDefault="00FA6325" w:rsidP="006468DE">
      <w:pPr>
        <w:shd w:val="clear" w:color="auto" w:fill="FFFFFF"/>
        <w:spacing w:after="0" w:line="240" w:lineRule="auto"/>
        <w:ind w:left="-226"/>
        <w:jc w:val="center"/>
        <w:rPr>
          <w:rFonts w:ascii="Helvetica" w:eastAsia="Times New Roman" w:hAnsi="Helvetica" w:cs="Times New Roman"/>
          <w:b/>
        </w:rPr>
      </w:pPr>
      <w:r w:rsidRPr="006468DE">
        <w:rPr>
          <w:rFonts w:ascii="Helvetica" w:eastAsia="Times New Roman" w:hAnsi="Helvetica" w:cs="Times New Roman"/>
          <w:b/>
        </w:rPr>
        <w:t xml:space="preserve">COST OF PARTICIPATION </w:t>
      </w:r>
    </w:p>
    <w:p w:rsidR="00663E01" w:rsidRDefault="00663E01" w:rsidP="006468DE">
      <w:pPr>
        <w:shd w:val="clear" w:color="auto" w:fill="FFFFFF"/>
        <w:spacing w:after="0" w:line="240" w:lineRule="auto"/>
        <w:ind w:left="-226"/>
        <w:jc w:val="center"/>
        <w:rPr>
          <w:rFonts w:ascii="Helvetica" w:eastAsia="Times New Roman" w:hAnsi="Helvetica" w:cs="Times New Roman"/>
          <w:b/>
        </w:rPr>
      </w:pPr>
    </w:p>
    <w:p w:rsidR="00F6692E" w:rsidRDefault="00AA5F67" w:rsidP="00663E0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PHARMA+</w:t>
      </w:r>
      <w:r w:rsidR="00F6692E">
        <w:rPr>
          <w:rFonts w:ascii="Arial" w:hAnsi="Arial" w:cs="Arial"/>
          <w:b/>
          <w:bCs/>
        </w:rPr>
        <w:t>BIO ASIA 2016</w:t>
      </w:r>
      <w:r>
        <w:rPr>
          <w:rFonts w:ascii="Arial" w:hAnsi="Arial" w:cs="Arial"/>
          <w:b/>
          <w:bCs/>
        </w:rPr>
        <w:t xml:space="preserve"> </w:t>
      </w:r>
      <w:r w:rsidR="00663E01">
        <w:rPr>
          <w:rFonts w:ascii="Arial" w:hAnsi="Arial" w:cs="Arial"/>
          <w:b/>
          <w:bCs/>
        </w:rPr>
        <w:t xml:space="preserve">EXHIBITION </w:t>
      </w:r>
    </w:p>
    <w:p w:rsidR="00663E01" w:rsidRDefault="00F6692E" w:rsidP="00663E0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 &amp; 29</w:t>
      </w:r>
      <w:r w:rsidR="00663E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SEPTEMBER 2016</w:t>
      </w:r>
    </w:p>
    <w:p w:rsidR="00663E01" w:rsidRDefault="00663E01" w:rsidP="00663E0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KUALA LUMPUR CONVENTION CENTRE</w:t>
      </w:r>
    </w:p>
    <w:p w:rsidR="00FA6325" w:rsidRPr="00FA6325" w:rsidRDefault="00FA6325" w:rsidP="00663E01">
      <w:pPr>
        <w:shd w:val="clear" w:color="auto" w:fill="FFFFFF"/>
        <w:spacing w:after="0" w:line="321" w:lineRule="atLeast"/>
        <w:rPr>
          <w:rFonts w:ascii="Helvetica" w:eastAsia="Times New Roman" w:hAnsi="Helvetica" w:cs="Times New Roman"/>
          <w:sz w:val="20"/>
          <w:szCs w:val="20"/>
        </w:rPr>
      </w:pPr>
    </w:p>
    <w:tbl>
      <w:tblPr>
        <w:tblW w:w="9705" w:type="dxa"/>
        <w:tblInd w:w="-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5490"/>
      </w:tblGrid>
      <w:tr w:rsidR="00FA6325" w:rsidRPr="00FA6325" w:rsidTr="00AA5F67">
        <w:tc>
          <w:tcPr>
            <w:tcW w:w="4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325" w:rsidRPr="00FA6325" w:rsidRDefault="00FA6325" w:rsidP="00FA6325">
            <w:pPr>
              <w:spacing w:after="0" w:line="330" w:lineRule="atLeast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FA6325">
              <w:rPr>
                <w:rFonts w:ascii="Helvetica" w:eastAsia="Times New Roman" w:hAnsi="Helvetica" w:cs="Times New Roman"/>
                <w:noProof/>
                <w:sz w:val="18"/>
                <w:szCs w:val="18"/>
              </w:rPr>
              <w:drawing>
                <wp:inline distT="0" distB="0" distL="0" distR="0">
                  <wp:extent cx="2554029" cy="2190872"/>
                  <wp:effectExtent l="19050" t="0" r="0" b="0"/>
                  <wp:docPr id="1" name="Picture 1" descr="http://www.biomalaysia.com.my/images/stories/biomalaysia/bare-sche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malaysia.com.my/images/stories/biomalaysia/bare-sche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460" cy="2190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1A24" w:rsidRPr="00F6692E" w:rsidRDefault="00FA6325" w:rsidP="00FA6325">
            <w:pPr>
              <w:spacing w:after="0" w:line="330" w:lineRule="atLeast"/>
              <w:rPr>
                <w:rFonts w:ascii="Helvetica" w:eastAsia="Times New Roman" w:hAnsi="Helvetica" w:cs="Times New Roman"/>
                <w:b/>
                <w:bCs/>
                <w:color w:val="000000" w:themeColor="text1"/>
              </w:rPr>
            </w:pPr>
            <w:r w:rsidRPr="00F6692E">
              <w:rPr>
                <w:rFonts w:ascii="Helvetica" w:eastAsia="Times New Roman" w:hAnsi="Helvetica" w:cs="Times New Roman"/>
                <w:b/>
                <w:bCs/>
                <w:color w:val="000000" w:themeColor="text1"/>
              </w:rPr>
              <w:t>OPTION 1 : RAW SPACE</w:t>
            </w:r>
            <w:r w:rsidRPr="00F6692E">
              <w:rPr>
                <w:rFonts w:ascii="Helvetica" w:eastAsia="Times New Roman" w:hAnsi="Helvetica" w:cs="Times New Roman"/>
                <w:color w:val="000000" w:themeColor="text1"/>
              </w:rPr>
              <w:br/>
            </w:r>
            <w:r w:rsidRPr="00F6692E">
              <w:rPr>
                <w:rFonts w:ascii="Helvetica" w:eastAsia="Times New Roman" w:hAnsi="Helvetica" w:cs="Times New Roman"/>
                <w:b/>
                <w:bCs/>
                <w:color w:val="000000" w:themeColor="text1"/>
              </w:rPr>
              <w:t>RM1</w:t>
            </w:r>
            <w:r w:rsidR="00303086" w:rsidRPr="00F6692E">
              <w:rPr>
                <w:rFonts w:ascii="Helvetica" w:eastAsia="Times New Roman" w:hAnsi="Helvetica" w:cs="Times New Roman"/>
                <w:b/>
                <w:bCs/>
                <w:color w:val="000000" w:themeColor="text1"/>
              </w:rPr>
              <w:t>,</w:t>
            </w:r>
            <w:r w:rsidR="00F6692E" w:rsidRPr="00F6692E">
              <w:rPr>
                <w:rFonts w:ascii="Helvetica" w:eastAsia="Times New Roman" w:hAnsi="Helvetica" w:cs="Times New Roman"/>
                <w:b/>
                <w:bCs/>
                <w:color w:val="000000" w:themeColor="text1"/>
              </w:rPr>
              <w:t xml:space="preserve">000.00 </w:t>
            </w:r>
            <w:r w:rsidRPr="00F6692E">
              <w:rPr>
                <w:rFonts w:ascii="Helvetica" w:eastAsia="Times New Roman" w:hAnsi="Helvetica" w:cs="Times New Roman"/>
                <w:b/>
                <w:bCs/>
                <w:color w:val="000000" w:themeColor="text1"/>
              </w:rPr>
              <w:t>(min. 18sq.m)</w:t>
            </w:r>
          </w:p>
          <w:p w:rsidR="00F6692E" w:rsidRPr="00F6692E" w:rsidRDefault="004B49AE" w:rsidP="00F6692E">
            <w:pPr>
              <w:rPr>
                <w:color w:val="000000" w:themeColor="text1"/>
              </w:rPr>
            </w:pPr>
            <w:r w:rsidRPr="00F6692E">
              <w:rPr>
                <w:rFonts w:ascii="Helvetica" w:eastAsia="Times New Roman" w:hAnsi="Helvetica" w:cs="Times New Roman"/>
                <w:b/>
                <w:color w:val="000000" w:themeColor="text1"/>
              </w:rPr>
              <w:t>RM19,080</w:t>
            </w:r>
            <w:r w:rsidR="00724480" w:rsidRPr="00F6692E">
              <w:rPr>
                <w:rFonts w:ascii="Helvetica" w:eastAsia="Times New Roman" w:hAnsi="Helvetica" w:cs="Times New Roman"/>
                <w:b/>
                <w:color w:val="000000" w:themeColor="text1"/>
              </w:rPr>
              <w:t>*</w:t>
            </w:r>
            <w:r w:rsidRPr="00F6692E">
              <w:rPr>
                <w:rFonts w:ascii="Helvetica" w:eastAsia="Times New Roman" w:hAnsi="Helvetica" w:cs="Times New Roman"/>
                <w:b/>
                <w:color w:val="000000" w:themeColor="text1"/>
              </w:rPr>
              <w:t xml:space="preserve"> </w:t>
            </w:r>
            <w:r w:rsidR="00F6692E" w:rsidRPr="00F6692E">
              <w:rPr>
                <w:rFonts w:ascii="Helvetica" w:eastAsia="Times New Roman" w:hAnsi="Helvetica" w:cs="Times New Roman"/>
                <w:b/>
                <w:color w:val="000000" w:themeColor="text1"/>
              </w:rPr>
              <w:t>(</w:t>
            </w:r>
            <w:r w:rsidR="00F6692E" w:rsidRPr="00F6692E">
              <w:rPr>
                <w:rFonts w:ascii="Helvetica" w:eastAsia="Times New Roman" w:hAnsi="Helvetica" w:cs="Times New Roman"/>
                <w:b/>
                <w:i/>
                <w:color w:val="000000" w:themeColor="text1"/>
                <w:sz w:val="20"/>
                <w:szCs w:val="20"/>
              </w:rPr>
              <w:t>Is inclusive of 6% GST</w:t>
            </w:r>
            <w:r w:rsidR="00F6692E" w:rsidRPr="00F6692E">
              <w:rPr>
                <w:rFonts w:ascii="Helvetica" w:eastAsia="Times New Roman" w:hAnsi="Helvetica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4B49AE" w:rsidRDefault="004B49AE" w:rsidP="00F6692E">
            <w:pPr>
              <w:spacing w:after="0" w:line="330" w:lineRule="atLeas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  <w:p w:rsidR="00FA6325" w:rsidRPr="00682D4B" w:rsidRDefault="00FA6325" w:rsidP="00F53BC8">
            <w:pPr>
              <w:spacing w:after="0" w:line="330" w:lineRule="atLeast"/>
              <w:jc w:val="both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82D4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Raw Space means floor space only and does not include any booth structure, construction, carpet, furniture, electrical fittings and all </w:t>
            </w:r>
            <w:r w:rsidR="00F53BC8" w:rsidRPr="00682D4B">
              <w:rPr>
                <w:rFonts w:ascii="Helvetica" w:eastAsia="Times New Roman" w:hAnsi="Helvetica" w:cs="Times New Roman"/>
                <w:sz w:val="20"/>
                <w:szCs w:val="20"/>
              </w:rPr>
              <w:t>other forms</w:t>
            </w:r>
            <w:r w:rsidRPr="00682D4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of fittings. The exhibitor shall be responsible for his own stand design, construction, floor coverings and furnishings. Electrical fittings must be ordered from the official stand contractors.</w:t>
            </w:r>
          </w:p>
          <w:p w:rsidR="00FA6325" w:rsidRPr="00682D4B" w:rsidRDefault="00FA6325" w:rsidP="00FA6325">
            <w:pPr>
              <w:spacing w:before="225" w:after="225" w:line="330" w:lineRule="atLeast"/>
              <w:jc w:val="both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82D4B">
              <w:rPr>
                <w:rFonts w:ascii="Helvetica" w:eastAsia="Times New Roman" w:hAnsi="Helvetica" w:cs="Times New Roman"/>
                <w:sz w:val="20"/>
                <w:szCs w:val="20"/>
              </w:rPr>
              <w:t>This package includes the following:</w:t>
            </w:r>
          </w:p>
          <w:p w:rsidR="00FA6325" w:rsidRPr="00682D4B" w:rsidRDefault="00A22784" w:rsidP="00A22784">
            <w:pPr>
              <w:numPr>
                <w:ilvl w:val="0"/>
                <w:numId w:val="2"/>
              </w:numPr>
              <w:spacing w:after="75" w:line="288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82D4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- </w:t>
            </w:r>
            <w:r w:rsidR="00FA6325" w:rsidRPr="00682D4B">
              <w:rPr>
                <w:rFonts w:ascii="Helvetica" w:eastAsia="Times New Roman" w:hAnsi="Helvetica" w:cs="Times New Roman"/>
                <w:sz w:val="20"/>
                <w:szCs w:val="20"/>
              </w:rPr>
              <w:t>50 visitor invitation flyers</w:t>
            </w:r>
          </w:p>
          <w:p w:rsidR="00FA6325" w:rsidRPr="00FA6325" w:rsidRDefault="00A22784" w:rsidP="00FA6325">
            <w:pPr>
              <w:numPr>
                <w:ilvl w:val="0"/>
                <w:numId w:val="2"/>
              </w:numPr>
              <w:spacing w:after="75" w:line="288" w:lineRule="atLeast"/>
              <w:ind w:left="0"/>
              <w:jc w:val="both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682D4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- </w:t>
            </w:r>
            <w:r w:rsidR="00FA6325" w:rsidRPr="00682D4B">
              <w:rPr>
                <w:rFonts w:ascii="Helvetica" w:eastAsia="Times New Roman" w:hAnsi="Helvetica" w:cs="Times New Roman"/>
                <w:sz w:val="20"/>
                <w:szCs w:val="20"/>
              </w:rPr>
              <w:t>Daily booth cleaning services</w:t>
            </w:r>
          </w:p>
        </w:tc>
      </w:tr>
      <w:tr w:rsidR="00FA6325" w:rsidRPr="00FA6325" w:rsidTr="00AA5F67">
        <w:trPr>
          <w:trHeight w:val="87"/>
        </w:trPr>
        <w:tc>
          <w:tcPr>
            <w:tcW w:w="4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6325" w:rsidRPr="00FA6325" w:rsidRDefault="00FA6325" w:rsidP="00FA6325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325" w:rsidRPr="00FA6325" w:rsidRDefault="00FA6325" w:rsidP="00FA6325">
            <w:pPr>
              <w:spacing w:after="0" w:line="330" w:lineRule="atLeas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</w:tbl>
    <w:p w:rsidR="006468DE" w:rsidRPr="00FA6325" w:rsidRDefault="00F6692E" w:rsidP="00FA6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525253" stroked="f"/>
        </w:pict>
      </w:r>
    </w:p>
    <w:tbl>
      <w:tblPr>
        <w:tblW w:w="95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4205"/>
      </w:tblGrid>
      <w:tr w:rsidR="00FA6325" w:rsidRPr="00633747" w:rsidTr="00F6692E"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2C7" w:rsidRDefault="00F6692E" w:rsidP="00FA6325">
            <w:pPr>
              <w:spacing w:after="0" w:line="330" w:lineRule="atLeast"/>
              <w:rPr>
                <w:rFonts w:ascii="Helvetica" w:eastAsia="Times New Roman" w:hAnsi="Helvetica" w:cs="Times New Roman"/>
                <w:b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56E2C780" wp14:editId="550C670B">
                  <wp:extent cx="3767667" cy="3107266"/>
                  <wp:effectExtent l="0" t="0" r="0" b="0"/>
                  <wp:docPr id="2" name="Picture 2" descr="C:\Users\user\Desktop\shell sche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hell sche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318" cy="310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2C7" w:rsidRDefault="001272C7" w:rsidP="001272C7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  <w:p w:rsidR="00FA6325" w:rsidRPr="001272C7" w:rsidRDefault="001272C7" w:rsidP="001272C7">
            <w:pPr>
              <w:tabs>
                <w:tab w:val="left" w:pos="2897"/>
              </w:tabs>
              <w:rPr>
                <w:rFonts w:ascii="Helvetica" w:eastAsia="Times New Roman" w:hAnsi="Helvetica" w:cs="Times New Roman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</w:rPr>
              <w:tab/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1A24" w:rsidRPr="00F6692E" w:rsidRDefault="00FA6325" w:rsidP="00FA6325">
            <w:pPr>
              <w:spacing w:after="0" w:line="330" w:lineRule="atLeast"/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</w:rPr>
            </w:pPr>
            <w:r w:rsidRPr="00F6692E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4"/>
                <w:szCs w:val="24"/>
              </w:rPr>
              <w:t>OPTION 2 : SHELL SCHEME</w:t>
            </w:r>
            <w:r w:rsidRPr="00F6692E">
              <w:rPr>
                <w:rFonts w:ascii="Helvetica" w:eastAsia="Times New Roman" w:hAnsi="Helvetica" w:cs="Times New Roman"/>
                <w:b/>
                <w:color w:val="000000" w:themeColor="text1"/>
                <w:sz w:val="18"/>
                <w:szCs w:val="18"/>
              </w:rPr>
              <w:br/>
            </w:r>
            <w:r w:rsidR="00F6692E" w:rsidRPr="00F6692E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</w:rPr>
              <w:t xml:space="preserve">RM1,150.00 </w:t>
            </w:r>
            <w:r w:rsidRPr="00F6692E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="00F6692E" w:rsidRPr="00F6692E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</w:rPr>
              <w:t>(min</w:t>
            </w:r>
            <w:r w:rsidRPr="00F6692E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</w:rPr>
              <w:t xml:space="preserve"> 9 </w:t>
            </w:r>
            <w:proofErr w:type="spellStart"/>
            <w:r w:rsidRPr="00F6692E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</w:rPr>
              <w:t>sq.m</w:t>
            </w:r>
            <w:proofErr w:type="spellEnd"/>
            <w:r w:rsidRPr="00F6692E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</w:rPr>
              <w:t>)</w:t>
            </w:r>
          </w:p>
          <w:p w:rsidR="00F6692E" w:rsidRPr="00F6692E" w:rsidRDefault="004B49AE" w:rsidP="00F6692E">
            <w:pPr>
              <w:rPr>
                <w:color w:val="000000" w:themeColor="text1"/>
              </w:rPr>
            </w:pPr>
            <w:r w:rsidRPr="00F6692E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</w:rPr>
              <w:t>RM10,971</w:t>
            </w:r>
            <w:r w:rsidR="00F6692E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20"/>
              </w:rPr>
              <w:t xml:space="preserve"> (</w:t>
            </w:r>
            <w:bookmarkStart w:id="0" w:name="_GoBack"/>
            <w:bookmarkEnd w:id="0"/>
            <w:r w:rsidR="00F6692E" w:rsidRPr="00F6692E">
              <w:rPr>
                <w:rFonts w:ascii="Helvetica" w:eastAsia="Times New Roman" w:hAnsi="Helvetica" w:cs="Times New Roman"/>
                <w:b/>
                <w:i/>
                <w:color w:val="000000" w:themeColor="text1"/>
                <w:sz w:val="20"/>
                <w:szCs w:val="20"/>
              </w:rPr>
              <w:t xml:space="preserve"> inclusive of 6% GST</w:t>
            </w:r>
            <w:r w:rsidR="00F6692E" w:rsidRPr="00F6692E">
              <w:rPr>
                <w:rFonts w:ascii="Helvetica" w:eastAsia="Times New Roman" w:hAnsi="Helvetica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4B49AE" w:rsidRPr="00633747" w:rsidRDefault="004B49AE" w:rsidP="00FA6325">
            <w:pPr>
              <w:spacing w:after="0" w:line="330" w:lineRule="atLeast"/>
              <w:rPr>
                <w:rFonts w:ascii="Helvetica" w:eastAsia="Times New Roman" w:hAnsi="Helvetica" w:cs="Times New Roman"/>
                <w:b/>
                <w:bCs/>
                <w:color w:val="E36C0A" w:themeColor="accent6" w:themeShade="BF"/>
                <w:sz w:val="20"/>
              </w:rPr>
            </w:pPr>
          </w:p>
          <w:p w:rsidR="00FA6325" w:rsidRPr="00682D4B" w:rsidRDefault="00FA6325" w:rsidP="00FA6325">
            <w:pPr>
              <w:spacing w:after="0" w:line="330" w:lineRule="atLeas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33747">
              <w:rPr>
                <w:rFonts w:ascii="Helvetica" w:eastAsia="Times New Roman" w:hAnsi="Helvetica" w:cs="Times New Roman"/>
                <w:b/>
                <w:sz w:val="18"/>
                <w:szCs w:val="18"/>
              </w:rPr>
              <w:br/>
            </w:r>
            <w:r w:rsidRPr="00682D4B">
              <w:rPr>
                <w:rFonts w:ascii="Helvetica" w:eastAsia="Times New Roman" w:hAnsi="Helvetica" w:cs="Times New Roman"/>
                <w:sz w:val="20"/>
                <w:szCs w:val="20"/>
              </w:rPr>
              <w:t>The Shell Scheme Rental Package includes:</w:t>
            </w:r>
          </w:p>
          <w:p w:rsidR="00682D4B" w:rsidRPr="00682D4B" w:rsidRDefault="00682D4B" w:rsidP="00FA6325">
            <w:pPr>
              <w:spacing w:after="0" w:line="330" w:lineRule="atLeast"/>
              <w:rPr>
                <w:rFonts w:ascii="Helvetica" w:eastAsia="Times New Roman" w:hAnsi="Helvetica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FA6325" w:rsidRPr="00682D4B" w:rsidRDefault="00A22784" w:rsidP="00FA6325">
            <w:pPr>
              <w:numPr>
                <w:ilvl w:val="0"/>
                <w:numId w:val="3"/>
              </w:numPr>
              <w:spacing w:after="75" w:line="288" w:lineRule="atLeast"/>
              <w:ind w:left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82D4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- </w:t>
            </w:r>
            <w:r w:rsidR="00FA6325" w:rsidRPr="00682D4B">
              <w:rPr>
                <w:rFonts w:ascii="Helvetica" w:eastAsia="Times New Roman" w:hAnsi="Helvetica" w:cs="Times New Roman"/>
                <w:sz w:val="20"/>
                <w:szCs w:val="20"/>
              </w:rPr>
              <w:t>Exhibition space</w:t>
            </w:r>
          </w:p>
          <w:p w:rsidR="00FA6325" w:rsidRPr="00682D4B" w:rsidRDefault="00A22784" w:rsidP="00FA6325">
            <w:pPr>
              <w:numPr>
                <w:ilvl w:val="0"/>
                <w:numId w:val="3"/>
              </w:numPr>
              <w:spacing w:after="75" w:line="288" w:lineRule="atLeast"/>
              <w:ind w:left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82D4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- </w:t>
            </w:r>
            <w:r w:rsidR="00FA6325" w:rsidRPr="00682D4B">
              <w:rPr>
                <w:rFonts w:ascii="Helvetica" w:eastAsia="Times New Roman" w:hAnsi="Helvetica" w:cs="Times New Roman"/>
                <w:sz w:val="20"/>
                <w:szCs w:val="20"/>
              </w:rPr>
              <w:t>Information counter</w:t>
            </w:r>
          </w:p>
          <w:p w:rsidR="00FA6325" w:rsidRPr="00682D4B" w:rsidRDefault="00A22784" w:rsidP="00FA6325">
            <w:pPr>
              <w:numPr>
                <w:ilvl w:val="0"/>
                <w:numId w:val="3"/>
              </w:numPr>
              <w:spacing w:after="75" w:line="288" w:lineRule="atLeast"/>
              <w:ind w:left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82D4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- </w:t>
            </w:r>
            <w:r w:rsidR="00FA6325" w:rsidRPr="00682D4B">
              <w:rPr>
                <w:rFonts w:ascii="Helvetica" w:eastAsia="Times New Roman" w:hAnsi="Helvetica" w:cs="Times New Roman"/>
                <w:sz w:val="20"/>
                <w:szCs w:val="20"/>
              </w:rPr>
              <w:t>2 folding chairs</w:t>
            </w:r>
          </w:p>
          <w:p w:rsidR="00FA6325" w:rsidRPr="00682D4B" w:rsidRDefault="00A22784" w:rsidP="00FA6325">
            <w:pPr>
              <w:numPr>
                <w:ilvl w:val="0"/>
                <w:numId w:val="3"/>
              </w:numPr>
              <w:spacing w:after="75" w:line="288" w:lineRule="atLeast"/>
              <w:ind w:left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82D4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- </w:t>
            </w:r>
            <w:r w:rsidR="00FA6325" w:rsidRPr="00682D4B">
              <w:rPr>
                <w:rFonts w:ascii="Helvetica" w:eastAsia="Times New Roman" w:hAnsi="Helvetica" w:cs="Times New Roman"/>
                <w:sz w:val="20"/>
                <w:szCs w:val="20"/>
              </w:rPr>
              <w:t>1 (13 amp) power point</w:t>
            </w:r>
          </w:p>
          <w:p w:rsidR="00FA6325" w:rsidRPr="00682D4B" w:rsidRDefault="00A22784" w:rsidP="00FA6325">
            <w:pPr>
              <w:numPr>
                <w:ilvl w:val="0"/>
                <w:numId w:val="3"/>
              </w:numPr>
              <w:spacing w:after="75" w:line="288" w:lineRule="atLeast"/>
              <w:ind w:left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82D4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- </w:t>
            </w:r>
            <w:r w:rsidR="00FA6325" w:rsidRPr="00682D4B">
              <w:rPr>
                <w:rFonts w:ascii="Helvetica" w:eastAsia="Times New Roman" w:hAnsi="Helvetica" w:cs="Times New Roman"/>
                <w:sz w:val="20"/>
                <w:szCs w:val="20"/>
              </w:rPr>
              <w:t>Needle punch carpet</w:t>
            </w:r>
          </w:p>
          <w:p w:rsidR="00FA6325" w:rsidRPr="00682D4B" w:rsidRDefault="00A22784" w:rsidP="00FA6325">
            <w:pPr>
              <w:numPr>
                <w:ilvl w:val="0"/>
                <w:numId w:val="3"/>
              </w:numPr>
              <w:spacing w:after="75" w:line="288" w:lineRule="atLeast"/>
              <w:ind w:left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82D4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- </w:t>
            </w:r>
            <w:r w:rsidR="00FA6325" w:rsidRPr="00682D4B">
              <w:rPr>
                <w:rFonts w:ascii="Helvetica" w:eastAsia="Times New Roman" w:hAnsi="Helvetica" w:cs="Times New Roman"/>
                <w:sz w:val="20"/>
                <w:szCs w:val="20"/>
              </w:rPr>
              <w:t>1 wastepaper basket</w:t>
            </w:r>
          </w:p>
          <w:p w:rsidR="00FA6325" w:rsidRPr="00682D4B" w:rsidRDefault="00A22784" w:rsidP="00FA6325">
            <w:pPr>
              <w:numPr>
                <w:ilvl w:val="0"/>
                <w:numId w:val="3"/>
              </w:numPr>
              <w:spacing w:after="75" w:line="288" w:lineRule="atLeast"/>
              <w:ind w:left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82D4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- </w:t>
            </w:r>
            <w:r w:rsidR="00FA6325" w:rsidRPr="00682D4B">
              <w:rPr>
                <w:rFonts w:ascii="Helvetica" w:eastAsia="Times New Roman" w:hAnsi="Helvetica" w:cs="Times New Roman"/>
                <w:sz w:val="20"/>
                <w:szCs w:val="20"/>
              </w:rPr>
              <w:t>2 fluorescent lights</w:t>
            </w:r>
          </w:p>
          <w:p w:rsidR="00FA6325" w:rsidRPr="00682D4B" w:rsidRDefault="00A22784" w:rsidP="00FA6325">
            <w:pPr>
              <w:numPr>
                <w:ilvl w:val="0"/>
                <w:numId w:val="3"/>
              </w:numPr>
              <w:spacing w:after="75" w:line="288" w:lineRule="atLeast"/>
              <w:ind w:left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82D4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- </w:t>
            </w:r>
            <w:r w:rsidR="00FA6325" w:rsidRPr="00682D4B">
              <w:rPr>
                <w:rFonts w:ascii="Helvetica" w:eastAsia="Times New Roman" w:hAnsi="Helvetica" w:cs="Times New Roman"/>
                <w:sz w:val="20"/>
                <w:szCs w:val="20"/>
              </w:rPr>
              <w:t>50 visitor invitation flyers</w:t>
            </w:r>
          </w:p>
          <w:p w:rsidR="006468DE" w:rsidRPr="00633747" w:rsidRDefault="00A22784" w:rsidP="006468DE">
            <w:pPr>
              <w:numPr>
                <w:ilvl w:val="0"/>
                <w:numId w:val="3"/>
              </w:numPr>
              <w:spacing w:after="75" w:line="288" w:lineRule="atLeast"/>
              <w:ind w:left="0"/>
              <w:rPr>
                <w:rFonts w:ascii="Helvetica" w:eastAsia="Times New Roman" w:hAnsi="Helvetica" w:cs="Times New Roman"/>
                <w:b/>
                <w:sz w:val="18"/>
                <w:szCs w:val="18"/>
              </w:rPr>
            </w:pPr>
            <w:r w:rsidRPr="00682D4B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- </w:t>
            </w:r>
            <w:r w:rsidR="00FA6325" w:rsidRPr="00682D4B">
              <w:rPr>
                <w:rFonts w:ascii="Helvetica" w:eastAsia="Times New Roman" w:hAnsi="Helvetica" w:cs="Times New Roman"/>
                <w:sz w:val="20"/>
                <w:szCs w:val="20"/>
              </w:rPr>
              <w:t>Daily booth cleaning</w:t>
            </w:r>
          </w:p>
        </w:tc>
      </w:tr>
      <w:tr w:rsidR="00FA6325" w:rsidRPr="00FA6325" w:rsidTr="00F6692E">
        <w:trPr>
          <w:gridAfter w:val="1"/>
          <w:wAfter w:w="4205" w:type="dxa"/>
          <w:trHeight w:val="225"/>
        </w:trPr>
        <w:tc>
          <w:tcPr>
            <w:tcW w:w="5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6325" w:rsidRPr="00FA6325" w:rsidRDefault="00FA6325" w:rsidP="00FA6325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B5113A" w:rsidRPr="00FA6325" w:rsidTr="00F6692E">
        <w:trPr>
          <w:gridAfter w:val="1"/>
          <w:wAfter w:w="4205" w:type="dxa"/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13A" w:rsidRPr="00FA6325" w:rsidRDefault="00B5113A" w:rsidP="00FA6325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</w:tbl>
    <w:p w:rsidR="00724480" w:rsidRDefault="00724480" w:rsidP="00B5113A">
      <w:pPr>
        <w:pStyle w:val="ListParagraph"/>
        <w:shd w:val="clear" w:color="auto" w:fill="FFFFFF"/>
        <w:spacing w:after="0" w:line="321" w:lineRule="atLeast"/>
        <w:rPr>
          <w:rFonts w:ascii="Helvetica" w:eastAsia="Times New Roman" w:hAnsi="Helvetica" w:cs="Times New Roman"/>
          <w:sz w:val="20"/>
          <w:szCs w:val="20"/>
        </w:rPr>
      </w:pPr>
    </w:p>
    <w:sectPr w:rsidR="00724480" w:rsidSect="00633747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521F"/>
    <w:multiLevelType w:val="multilevel"/>
    <w:tmpl w:val="458A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8089B"/>
    <w:multiLevelType w:val="multilevel"/>
    <w:tmpl w:val="8F7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F6024"/>
    <w:multiLevelType w:val="multilevel"/>
    <w:tmpl w:val="0846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5"/>
    <w:rsid w:val="00011D8A"/>
    <w:rsid w:val="000773A0"/>
    <w:rsid w:val="000B439D"/>
    <w:rsid w:val="001272C7"/>
    <w:rsid w:val="00130012"/>
    <w:rsid w:val="001370A8"/>
    <w:rsid w:val="00154B20"/>
    <w:rsid w:val="001E511B"/>
    <w:rsid w:val="00303086"/>
    <w:rsid w:val="003E50FB"/>
    <w:rsid w:val="00436DC6"/>
    <w:rsid w:val="004939BA"/>
    <w:rsid w:val="004B49AE"/>
    <w:rsid w:val="004F16EA"/>
    <w:rsid w:val="005606DB"/>
    <w:rsid w:val="00620CD3"/>
    <w:rsid w:val="00626AFA"/>
    <w:rsid w:val="00633747"/>
    <w:rsid w:val="006468DE"/>
    <w:rsid w:val="00663E01"/>
    <w:rsid w:val="00682D4B"/>
    <w:rsid w:val="00711C6B"/>
    <w:rsid w:val="00724480"/>
    <w:rsid w:val="007B2A89"/>
    <w:rsid w:val="0085302C"/>
    <w:rsid w:val="008B4132"/>
    <w:rsid w:val="008E5C41"/>
    <w:rsid w:val="009146F9"/>
    <w:rsid w:val="00963E96"/>
    <w:rsid w:val="00A055A7"/>
    <w:rsid w:val="00A107A1"/>
    <w:rsid w:val="00A21A24"/>
    <w:rsid w:val="00A22784"/>
    <w:rsid w:val="00AA5F67"/>
    <w:rsid w:val="00AC0E9D"/>
    <w:rsid w:val="00AF2AC1"/>
    <w:rsid w:val="00B5113A"/>
    <w:rsid w:val="00B7018F"/>
    <w:rsid w:val="00B80D81"/>
    <w:rsid w:val="00BB32EE"/>
    <w:rsid w:val="00BC5582"/>
    <w:rsid w:val="00BE7762"/>
    <w:rsid w:val="00C131B6"/>
    <w:rsid w:val="00C66BDC"/>
    <w:rsid w:val="00C709BB"/>
    <w:rsid w:val="00CC5D3C"/>
    <w:rsid w:val="00CD083E"/>
    <w:rsid w:val="00D8348B"/>
    <w:rsid w:val="00E0406D"/>
    <w:rsid w:val="00E90808"/>
    <w:rsid w:val="00EE79AD"/>
    <w:rsid w:val="00F315E2"/>
    <w:rsid w:val="00F53BC8"/>
    <w:rsid w:val="00F6692E"/>
    <w:rsid w:val="00FA6325"/>
    <w:rsid w:val="00FA6D2C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63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63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PESB4</dc:creator>
  <cp:lastModifiedBy>user</cp:lastModifiedBy>
  <cp:revision>2</cp:revision>
  <cp:lastPrinted>2015-02-13T06:37:00Z</cp:lastPrinted>
  <dcterms:created xsi:type="dcterms:W3CDTF">2015-11-06T06:55:00Z</dcterms:created>
  <dcterms:modified xsi:type="dcterms:W3CDTF">2015-11-06T06:55:00Z</dcterms:modified>
</cp:coreProperties>
</file>