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7CD3553" w14:textId="0B9C0881" w:rsidR="00B8667C" w:rsidRPr="00195DA3" w:rsidRDefault="00B8667C" w:rsidP="007228A3">
      <w:pPr>
        <w:jc w:val="center"/>
        <w:rPr>
          <w:rFonts w:cstheme="minorHAnsi"/>
        </w:rPr>
      </w:pPr>
      <w:bookmarkStart w:id="0" w:name="_GoBack"/>
      <w:bookmarkEnd w:id="0"/>
      <w:r w:rsidRPr="007228A3">
        <w:rPr>
          <w:rFonts w:cstheme="minorHAnsi"/>
          <w:noProof/>
          <w:lang w:val="en-US"/>
        </w:rPr>
        <w:drawing>
          <wp:inline distT="0" distB="0" distL="0" distR="0" wp14:anchorId="77CD35CA" wp14:editId="67E6D627">
            <wp:extent cx="1238250" cy="483692"/>
            <wp:effectExtent l="0" t="0" r="0" b="0"/>
            <wp:docPr id="1" name="Picture 1" descr="C:\Users\Mary_Day\Desktop\Newton-Fund-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_Day\Desktop\Newton-Fund-Master-rg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2372" cy="485302"/>
                    </a:xfrm>
                    <a:prstGeom prst="rect">
                      <a:avLst/>
                    </a:prstGeom>
                    <a:noFill/>
                    <a:ln>
                      <a:noFill/>
                    </a:ln>
                  </pic:spPr>
                </pic:pic>
              </a:graphicData>
            </a:graphic>
          </wp:inline>
        </w:drawing>
      </w:r>
      <w:r w:rsidRPr="007228A3">
        <w:rPr>
          <w:rFonts w:cstheme="minorHAnsi"/>
          <w:noProof/>
          <w:lang w:val="en-US"/>
        </w:rPr>
        <w:drawing>
          <wp:inline distT="0" distB="0" distL="0" distR="0" wp14:anchorId="77CD35CC" wp14:editId="644EBC8F">
            <wp:extent cx="561975" cy="561975"/>
            <wp:effectExtent l="0" t="0" r="9525" b="9525"/>
            <wp:docPr id="2" name="Picture 2" descr="C:\Users\Mary_Day\Desktop\0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_Day\Desktop\01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1247A2">
        <w:rPr>
          <w:rFonts w:cstheme="minorHAnsi"/>
          <w:noProof/>
          <w:lang w:val="en-US"/>
        </w:rPr>
        <w:drawing>
          <wp:inline distT="0" distB="0" distL="0" distR="0" wp14:anchorId="0E7F0D8C" wp14:editId="3E68F3B8">
            <wp:extent cx="847725" cy="60255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9858" cy="604071"/>
                    </a:xfrm>
                    <a:prstGeom prst="rect">
                      <a:avLst/>
                    </a:prstGeom>
                    <a:noFill/>
                  </pic:spPr>
                </pic:pic>
              </a:graphicData>
            </a:graphic>
          </wp:inline>
        </w:drawing>
      </w:r>
      <w:r w:rsidR="001247A2">
        <w:rPr>
          <w:rFonts w:cstheme="minorHAnsi"/>
          <w:noProof/>
          <w:lang w:val="en-US"/>
        </w:rPr>
        <w:drawing>
          <wp:inline distT="0" distB="0" distL="0" distR="0" wp14:anchorId="425A8465" wp14:editId="07F44F0E">
            <wp:extent cx="571500" cy="54827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724" cy="544650"/>
                    </a:xfrm>
                    <a:prstGeom prst="rect">
                      <a:avLst/>
                    </a:prstGeom>
                    <a:noFill/>
                  </pic:spPr>
                </pic:pic>
              </a:graphicData>
            </a:graphic>
          </wp:inline>
        </w:drawing>
      </w:r>
      <w:r w:rsidR="00CD5F87">
        <w:rPr>
          <w:rFonts w:cstheme="minorHAnsi"/>
          <w:noProof/>
          <w:lang w:val="en-US"/>
        </w:rPr>
        <w:drawing>
          <wp:inline distT="0" distB="0" distL="0" distR="0" wp14:anchorId="492004A2" wp14:editId="381C0C23">
            <wp:extent cx="1200150" cy="4974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2484" cy="502607"/>
                    </a:xfrm>
                    <a:prstGeom prst="rect">
                      <a:avLst/>
                    </a:prstGeom>
                    <a:noFill/>
                  </pic:spPr>
                </pic:pic>
              </a:graphicData>
            </a:graphic>
          </wp:inline>
        </w:drawing>
      </w:r>
      <w:r w:rsidR="006667D7">
        <w:rPr>
          <w:rFonts w:cstheme="minorHAnsi"/>
          <w:noProof/>
          <w:lang w:val="en-US"/>
        </w:rPr>
        <w:drawing>
          <wp:inline distT="0" distB="0" distL="0" distR="0" wp14:anchorId="19B507F4" wp14:editId="42A06741">
            <wp:extent cx="552450" cy="552450"/>
            <wp:effectExtent l="0" t="0" r="0" b="0"/>
            <wp:docPr id="8" name="Picture 8" descr="C:\Users\kfu1\AppData\Local\Microsoft\Windows\Temporary Internet Files\Content.Outlook\E52O996E\DOST 800x800px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u1\AppData\Local\Microsoft\Windows\Temporary Internet Files\Content.Outlook\E52O996E\DOST 800x800px_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D3130D">
        <w:rPr>
          <w:rFonts w:cstheme="minorHAnsi"/>
          <w:noProof/>
          <w:lang w:val="en-US"/>
        </w:rPr>
        <w:drawing>
          <wp:inline distT="0" distB="0" distL="0" distR="0" wp14:anchorId="0B7557FE" wp14:editId="42A91FC9">
            <wp:extent cx="561745" cy="8662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605" cy="862947"/>
                    </a:xfrm>
                    <a:prstGeom prst="rect">
                      <a:avLst/>
                    </a:prstGeom>
                    <a:noFill/>
                  </pic:spPr>
                </pic:pic>
              </a:graphicData>
            </a:graphic>
          </wp:inline>
        </w:drawing>
      </w:r>
    </w:p>
    <w:p w14:paraId="77CD3555" w14:textId="0979A853" w:rsidR="00667549" w:rsidRPr="008E3DEC" w:rsidRDefault="00667549" w:rsidP="00667549">
      <w:pPr>
        <w:jc w:val="center"/>
        <w:rPr>
          <w:rFonts w:ascii="Verdana" w:eastAsia="Times New Roman" w:hAnsi="Verdana" w:cstheme="minorHAnsi"/>
          <w:b/>
          <w:szCs w:val="20"/>
          <w:u w:val="single"/>
          <w:lang w:val="en" w:eastAsia="en-GB"/>
        </w:rPr>
      </w:pPr>
      <w:r w:rsidRPr="008E3DEC">
        <w:rPr>
          <w:rFonts w:ascii="Verdana" w:eastAsia="Times New Roman" w:hAnsi="Verdana" w:cstheme="minorHAnsi"/>
          <w:b/>
          <w:szCs w:val="20"/>
          <w:u w:val="single"/>
          <w:lang w:val="en" w:eastAsia="en-GB"/>
        </w:rPr>
        <w:t xml:space="preserve">UK – </w:t>
      </w:r>
      <w:r w:rsidR="00694345">
        <w:rPr>
          <w:rFonts w:ascii="Verdana" w:eastAsia="Times New Roman" w:hAnsi="Verdana" w:cstheme="minorHAnsi"/>
          <w:b/>
          <w:szCs w:val="20"/>
          <w:u w:val="single"/>
          <w:lang w:val="en" w:eastAsia="en-GB"/>
        </w:rPr>
        <w:t>Indonesia – Malaysia – Philippines - Thailand</w:t>
      </w:r>
      <w:r w:rsidR="00AE09A9" w:rsidRPr="008E3DEC">
        <w:rPr>
          <w:rFonts w:ascii="Verdana" w:eastAsia="Times New Roman" w:hAnsi="Verdana" w:cstheme="minorHAnsi"/>
          <w:b/>
          <w:szCs w:val="20"/>
          <w:u w:val="single"/>
          <w:lang w:val="en" w:eastAsia="en-GB"/>
        </w:rPr>
        <w:t xml:space="preserve"> Small Scale </w:t>
      </w:r>
      <w:r w:rsidR="00E13D17">
        <w:rPr>
          <w:rFonts w:ascii="Verdana" w:eastAsia="Times New Roman" w:hAnsi="Verdana" w:cstheme="minorHAnsi"/>
          <w:b/>
          <w:szCs w:val="20"/>
          <w:u w:val="single"/>
          <w:lang w:val="en" w:eastAsia="en-GB"/>
        </w:rPr>
        <w:t xml:space="preserve">Research </w:t>
      </w:r>
      <w:r w:rsidR="00AE09A9" w:rsidRPr="008E3DEC">
        <w:rPr>
          <w:rFonts w:ascii="Verdana" w:eastAsia="Times New Roman" w:hAnsi="Verdana" w:cstheme="minorHAnsi"/>
          <w:b/>
          <w:szCs w:val="20"/>
          <w:u w:val="single"/>
          <w:lang w:val="en" w:eastAsia="en-GB"/>
        </w:rPr>
        <w:t>Partnerships</w:t>
      </w:r>
      <w:r w:rsidRPr="008E3DEC">
        <w:rPr>
          <w:rFonts w:ascii="Verdana" w:eastAsia="Times New Roman" w:hAnsi="Verdana" w:cstheme="minorHAnsi"/>
          <w:b/>
          <w:szCs w:val="20"/>
          <w:u w:val="single"/>
          <w:lang w:val="en" w:eastAsia="en-GB"/>
        </w:rPr>
        <w:t xml:space="preserve"> Call for Proposals</w:t>
      </w:r>
      <w:r w:rsidR="00454CC5" w:rsidRPr="008E3DEC">
        <w:rPr>
          <w:rFonts w:ascii="Verdana" w:eastAsia="Times New Roman" w:hAnsi="Verdana" w:cstheme="minorHAnsi"/>
          <w:b/>
          <w:szCs w:val="20"/>
          <w:u w:val="single"/>
          <w:lang w:val="en" w:eastAsia="en-GB"/>
        </w:rPr>
        <w:t xml:space="preserve"> 201</w:t>
      </w:r>
      <w:r w:rsidR="00AE09A9" w:rsidRPr="008E3DEC">
        <w:rPr>
          <w:rFonts w:ascii="Verdana" w:eastAsia="Times New Roman" w:hAnsi="Verdana" w:cstheme="minorHAnsi"/>
          <w:b/>
          <w:szCs w:val="20"/>
          <w:u w:val="single"/>
          <w:lang w:val="en" w:eastAsia="en-GB"/>
        </w:rPr>
        <w:t>6</w:t>
      </w:r>
    </w:p>
    <w:p w14:paraId="77CD3556" w14:textId="21806467" w:rsidR="00667549" w:rsidRPr="008E3DEC" w:rsidRDefault="00AE09A9" w:rsidP="00873FF6">
      <w:pPr>
        <w:jc w:val="center"/>
        <w:rPr>
          <w:rFonts w:ascii="Verdana" w:eastAsia="Times New Roman" w:hAnsi="Verdana" w:cstheme="minorHAnsi"/>
          <w:b/>
          <w:sz w:val="18"/>
          <w:szCs w:val="20"/>
          <w:u w:val="single"/>
          <w:lang w:val="en" w:eastAsia="en-GB"/>
        </w:rPr>
      </w:pPr>
      <w:r w:rsidRPr="008E3DEC">
        <w:rPr>
          <w:rFonts w:ascii="Verdana" w:eastAsia="Times New Roman" w:hAnsi="Verdana" w:cstheme="minorHAnsi"/>
          <w:b/>
          <w:sz w:val="18"/>
          <w:szCs w:val="20"/>
          <w:u w:val="single"/>
          <w:lang w:val="en" w:eastAsia="en-GB"/>
        </w:rPr>
        <w:t xml:space="preserve">RCUK </w:t>
      </w:r>
      <w:r w:rsidR="004A521B" w:rsidRPr="008E3DEC">
        <w:rPr>
          <w:rFonts w:ascii="Verdana" w:eastAsia="Times New Roman" w:hAnsi="Verdana" w:cstheme="minorHAnsi"/>
          <w:b/>
          <w:sz w:val="18"/>
          <w:szCs w:val="20"/>
          <w:u w:val="single"/>
          <w:lang w:val="en" w:eastAsia="en-GB"/>
        </w:rPr>
        <w:t>–</w:t>
      </w:r>
      <w:r w:rsidRPr="008E3DEC">
        <w:rPr>
          <w:rFonts w:ascii="Verdana" w:eastAsia="Times New Roman" w:hAnsi="Verdana" w:cstheme="minorHAnsi"/>
          <w:b/>
          <w:sz w:val="18"/>
          <w:szCs w:val="20"/>
          <w:u w:val="single"/>
          <w:lang w:val="en" w:eastAsia="en-GB"/>
        </w:rPr>
        <w:t xml:space="preserve"> </w:t>
      </w:r>
      <w:r w:rsidR="00C77003">
        <w:rPr>
          <w:rFonts w:ascii="Verdana" w:eastAsia="Times New Roman" w:hAnsi="Verdana" w:cstheme="minorHAnsi"/>
          <w:b/>
          <w:sz w:val="18"/>
          <w:szCs w:val="20"/>
          <w:u w:val="single"/>
          <w:lang w:val="en" w:eastAsia="en-GB"/>
        </w:rPr>
        <w:t>DIPI</w:t>
      </w:r>
      <w:r w:rsidR="008E3DEC">
        <w:rPr>
          <w:rFonts w:ascii="Verdana" w:eastAsia="Times New Roman" w:hAnsi="Verdana" w:cstheme="minorHAnsi"/>
          <w:b/>
          <w:sz w:val="18"/>
          <w:szCs w:val="20"/>
          <w:u w:val="single"/>
          <w:lang w:val="en" w:eastAsia="en-GB"/>
        </w:rPr>
        <w:t xml:space="preserve"> </w:t>
      </w:r>
      <w:r w:rsidR="004A521B" w:rsidRPr="008E3DEC">
        <w:rPr>
          <w:rFonts w:ascii="Verdana" w:eastAsia="Times New Roman" w:hAnsi="Verdana" w:cstheme="minorHAnsi"/>
          <w:b/>
          <w:sz w:val="18"/>
          <w:szCs w:val="20"/>
          <w:u w:val="single"/>
          <w:lang w:val="en" w:eastAsia="en-GB"/>
        </w:rPr>
        <w:t xml:space="preserve">- </w:t>
      </w:r>
      <w:r w:rsidRPr="008E3DEC">
        <w:rPr>
          <w:rFonts w:ascii="Verdana" w:hAnsi="Verdana" w:cstheme="minorHAnsi"/>
          <w:b/>
          <w:sz w:val="18"/>
          <w:szCs w:val="20"/>
          <w:u w:val="single"/>
          <w:lang w:val="en"/>
        </w:rPr>
        <w:t>Ristekdikti</w:t>
      </w:r>
      <w:r w:rsidR="008E3DEC">
        <w:rPr>
          <w:rFonts w:ascii="Verdana" w:hAnsi="Verdana" w:cstheme="minorHAnsi"/>
          <w:b/>
          <w:sz w:val="18"/>
          <w:szCs w:val="20"/>
          <w:u w:val="single"/>
          <w:lang w:val="en"/>
        </w:rPr>
        <w:t xml:space="preserve"> </w:t>
      </w:r>
      <w:r w:rsidRPr="008E3DEC">
        <w:rPr>
          <w:rFonts w:ascii="Verdana" w:hAnsi="Verdana" w:cstheme="minorHAnsi"/>
          <w:b/>
          <w:sz w:val="18"/>
          <w:szCs w:val="20"/>
          <w:u w:val="single"/>
          <w:lang w:val="en"/>
        </w:rPr>
        <w:t>- MoHE- DOST- TRF</w:t>
      </w:r>
      <w:r w:rsidR="00E029C2">
        <w:rPr>
          <w:rFonts w:ascii="Verdana" w:hAnsi="Verdana" w:cstheme="minorHAnsi"/>
          <w:b/>
          <w:sz w:val="18"/>
          <w:szCs w:val="20"/>
          <w:u w:val="single"/>
          <w:lang w:val="en"/>
        </w:rPr>
        <w:t xml:space="preserve"> </w:t>
      </w:r>
      <w:r w:rsidRPr="008E3DEC">
        <w:rPr>
          <w:rFonts w:ascii="Verdana" w:eastAsia="Times New Roman" w:hAnsi="Verdana" w:cstheme="minorHAnsi"/>
          <w:b/>
          <w:sz w:val="18"/>
          <w:szCs w:val="20"/>
          <w:u w:val="single"/>
          <w:lang w:val="en" w:eastAsia="en-GB"/>
        </w:rPr>
        <w:t xml:space="preserve">Small Scale </w:t>
      </w:r>
      <w:r w:rsidR="008A0187">
        <w:rPr>
          <w:rFonts w:ascii="Verdana" w:eastAsia="Times New Roman" w:hAnsi="Verdana" w:cstheme="minorHAnsi"/>
          <w:b/>
          <w:sz w:val="18"/>
          <w:szCs w:val="20"/>
          <w:u w:val="single"/>
          <w:lang w:val="en" w:eastAsia="en-GB"/>
        </w:rPr>
        <w:t xml:space="preserve">Research </w:t>
      </w:r>
      <w:r w:rsidR="00667549" w:rsidRPr="008E3DEC">
        <w:rPr>
          <w:rFonts w:ascii="Verdana" w:eastAsia="Times New Roman" w:hAnsi="Verdana" w:cstheme="minorHAnsi"/>
          <w:b/>
          <w:sz w:val="18"/>
          <w:szCs w:val="20"/>
          <w:u w:val="single"/>
          <w:lang w:val="en" w:eastAsia="en-GB"/>
        </w:rPr>
        <w:t>Partnership</w:t>
      </w:r>
      <w:r w:rsidR="001D7930" w:rsidRPr="008E3DEC">
        <w:rPr>
          <w:rFonts w:ascii="Verdana" w:eastAsia="Times New Roman" w:hAnsi="Verdana" w:cstheme="minorHAnsi"/>
          <w:b/>
          <w:sz w:val="18"/>
          <w:szCs w:val="20"/>
          <w:u w:val="single"/>
          <w:lang w:val="en" w:eastAsia="en-GB"/>
        </w:rPr>
        <w:t>s</w:t>
      </w:r>
      <w:r w:rsidR="00667549" w:rsidRPr="008E3DEC">
        <w:rPr>
          <w:rFonts w:ascii="Verdana" w:eastAsia="Times New Roman" w:hAnsi="Verdana" w:cstheme="minorHAnsi"/>
          <w:b/>
          <w:sz w:val="18"/>
          <w:szCs w:val="20"/>
          <w:u w:val="single"/>
          <w:lang w:val="en" w:eastAsia="en-GB"/>
        </w:rPr>
        <w:t xml:space="preserve"> Call</w:t>
      </w:r>
    </w:p>
    <w:p w14:paraId="77CD3557" w14:textId="77777777" w:rsidR="00667549" w:rsidRPr="008E3DEC" w:rsidRDefault="00667549" w:rsidP="00E029C2">
      <w:pPr>
        <w:rPr>
          <w:rFonts w:ascii="Verdana" w:hAnsi="Verdana" w:cstheme="minorHAnsi"/>
          <w:b/>
          <w:sz w:val="20"/>
          <w:szCs w:val="20"/>
          <w:u w:val="single"/>
        </w:rPr>
      </w:pPr>
      <w:r w:rsidRPr="008E3DEC">
        <w:rPr>
          <w:rFonts w:ascii="Verdana" w:hAnsi="Verdana" w:cstheme="minorHAnsi"/>
          <w:b/>
          <w:sz w:val="20"/>
          <w:szCs w:val="20"/>
          <w:u w:val="single"/>
        </w:rPr>
        <w:t>Objectives and Scope</w:t>
      </w:r>
    </w:p>
    <w:p w14:paraId="3AC99918" w14:textId="57C72AF9" w:rsidR="00AE09A9" w:rsidRPr="00F95AA8" w:rsidRDefault="00667549" w:rsidP="00F95AA8">
      <w:pPr>
        <w:jc w:val="both"/>
        <w:rPr>
          <w:rFonts w:ascii="Verdana" w:eastAsia="Times New Roman" w:hAnsi="Verdana" w:cstheme="minorHAnsi"/>
          <w:sz w:val="20"/>
          <w:szCs w:val="20"/>
          <w:lang w:val="en" w:eastAsia="en-GB"/>
        </w:rPr>
      </w:pPr>
      <w:r w:rsidRPr="00F95AA8">
        <w:rPr>
          <w:rFonts w:ascii="Verdana" w:eastAsia="Times New Roman" w:hAnsi="Verdana" w:cstheme="minorHAnsi"/>
          <w:sz w:val="20"/>
          <w:szCs w:val="20"/>
          <w:lang w:val="en" w:eastAsia="en-GB"/>
        </w:rPr>
        <w:t xml:space="preserve">The </w:t>
      </w:r>
      <w:r w:rsidR="004A521B" w:rsidRPr="00F95AA8">
        <w:rPr>
          <w:rFonts w:ascii="Verdana" w:hAnsi="Verdana"/>
          <w:sz w:val="20"/>
          <w:szCs w:val="20"/>
        </w:rPr>
        <w:t>Research Councils UK (RCUK), the Indonesia Science Fund (</w:t>
      </w:r>
      <w:r w:rsidR="00C77003" w:rsidRPr="00F95AA8">
        <w:rPr>
          <w:rFonts w:ascii="Verdana" w:hAnsi="Verdana"/>
          <w:sz w:val="20"/>
          <w:szCs w:val="20"/>
        </w:rPr>
        <w:t>DIPI</w:t>
      </w:r>
      <w:r w:rsidR="004A521B" w:rsidRPr="00F95AA8">
        <w:rPr>
          <w:rFonts w:ascii="Verdana" w:hAnsi="Verdana"/>
          <w:sz w:val="20"/>
          <w:szCs w:val="20"/>
        </w:rPr>
        <w:t xml:space="preserve">), the Ministry of Research Technology and Higher Education Republic of Indonesia (Ristekdikti), the Ministry of Higher Education Malaysia (MoHE), the Department of Science and Technology Philippines (DOST), </w:t>
      </w:r>
      <w:r w:rsidR="00552D4C" w:rsidRPr="00F95AA8">
        <w:rPr>
          <w:rFonts w:ascii="Verdana" w:hAnsi="Verdana"/>
          <w:sz w:val="20"/>
          <w:szCs w:val="20"/>
        </w:rPr>
        <w:t xml:space="preserve">and </w:t>
      </w:r>
      <w:r w:rsidR="004A521B" w:rsidRPr="00F95AA8">
        <w:rPr>
          <w:rFonts w:ascii="Verdana" w:hAnsi="Verdana"/>
          <w:sz w:val="20"/>
          <w:szCs w:val="20"/>
        </w:rPr>
        <w:t xml:space="preserve">the Thailand Research Fund (TRF) </w:t>
      </w:r>
      <w:r w:rsidRPr="00F95AA8">
        <w:rPr>
          <w:rFonts w:ascii="Verdana" w:eastAsia="Times New Roman" w:hAnsi="Verdana" w:cstheme="minorHAnsi"/>
          <w:sz w:val="20"/>
          <w:szCs w:val="20"/>
          <w:lang w:val="en" w:eastAsia="en-GB"/>
        </w:rPr>
        <w:t xml:space="preserve">are pleased to invite applications to the </w:t>
      </w:r>
      <w:r w:rsidR="00AE09A9" w:rsidRPr="00F95AA8">
        <w:rPr>
          <w:rFonts w:ascii="Verdana" w:eastAsia="Times New Roman" w:hAnsi="Verdana" w:cstheme="minorHAnsi"/>
          <w:sz w:val="20"/>
          <w:szCs w:val="20"/>
          <w:lang w:val="en" w:eastAsia="en-GB"/>
        </w:rPr>
        <w:t xml:space="preserve">UK – </w:t>
      </w:r>
      <w:r w:rsidR="00CC1568" w:rsidRPr="00F95AA8">
        <w:rPr>
          <w:rFonts w:ascii="Verdana" w:eastAsia="Times New Roman" w:hAnsi="Verdana" w:cstheme="minorHAnsi"/>
          <w:sz w:val="20"/>
          <w:szCs w:val="20"/>
          <w:lang w:val="en" w:eastAsia="en-GB"/>
        </w:rPr>
        <w:t>Indonesia – Malaysia – Philippines - Thailand</w:t>
      </w:r>
      <w:r w:rsidR="00AE09A9" w:rsidRPr="00F95AA8">
        <w:rPr>
          <w:rFonts w:ascii="Verdana" w:eastAsia="Times New Roman" w:hAnsi="Verdana" w:cstheme="minorHAnsi"/>
          <w:sz w:val="20"/>
          <w:szCs w:val="20"/>
          <w:lang w:val="en" w:eastAsia="en-GB"/>
        </w:rPr>
        <w:t xml:space="preserve"> Small Scale </w:t>
      </w:r>
      <w:r w:rsidR="004617BE" w:rsidRPr="00F95AA8">
        <w:rPr>
          <w:rFonts w:ascii="Verdana" w:eastAsia="Times New Roman" w:hAnsi="Verdana" w:cstheme="minorHAnsi"/>
          <w:sz w:val="20"/>
          <w:szCs w:val="20"/>
          <w:lang w:val="en" w:eastAsia="en-GB"/>
        </w:rPr>
        <w:t xml:space="preserve">Research </w:t>
      </w:r>
      <w:r w:rsidR="00AE09A9" w:rsidRPr="00F95AA8">
        <w:rPr>
          <w:rFonts w:ascii="Verdana" w:eastAsia="Times New Roman" w:hAnsi="Verdana" w:cstheme="minorHAnsi"/>
          <w:sz w:val="20"/>
          <w:szCs w:val="20"/>
          <w:lang w:val="en" w:eastAsia="en-GB"/>
        </w:rPr>
        <w:t>Partnerships Call for Proposals 2016.</w:t>
      </w:r>
    </w:p>
    <w:p w14:paraId="6AA7750B" w14:textId="423533EA" w:rsidR="008A0187" w:rsidRPr="00F95AA8" w:rsidRDefault="00AE09A9" w:rsidP="00F95AA8">
      <w:pPr>
        <w:jc w:val="both"/>
        <w:rPr>
          <w:rFonts w:ascii="Verdana" w:eastAsia="Times New Roman" w:hAnsi="Verdana" w:cstheme="minorHAnsi"/>
          <w:sz w:val="20"/>
          <w:szCs w:val="20"/>
          <w:lang w:val="en" w:eastAsia="en-GB"/>
        </w:rPr>
      </w:pPr>
      <w:r w:rsidRPr="00F95AA8">
        <w:rPr>
          <w:rFonts w:ascii="Verdana" w:eastAsia="Times New Roman" w:hAnsi="Verdana" w:cstheme="minorHAnsi"/>
          <w:sz w:val="20"/>
          <w:szCs w:val="20"/>
          <w:lang w:val="en" w:eastAsia="en-GB"/>
        </w:rPr>
        <w:t>The aim of this call is to provide</w:t>
      </w:r>
      <w:r w:rsidR="00737130" w:rsidRPr="00F95AA8">
        <w:rPr>
          <w:rFonts w:ascii="Verdana" w:eastAsia="Times New Roman" w:hAnsi="Verdana" w:cstheme="minorHAnsi"/>
          <w:sz w:val="20"/>
          <w:szCs w:val="20"/>
          <w:lang w:val="en" w:eastAsia="en-GB"/>
        </w:rPr>
        <w:t xml:space="preserve"> 1-2 year</w:t>
      </w:r>
      <w:r w:rsidRPr="00F95AA8">
        <w:rPr>
          <w:rFonts w:ascii="Verdana" w:eastAsia="Times New Roman" w:hAnsi="Verdana" w:cstheme="minorHAnsi"/>
          <w:sz w:val="20"/>
          <w:szCs w:val="20"/>
          <w:lang w:val="en" w:eastAsia="en-GB"/>
        </w:rPr>
        <w:t xml:space="preserve"> flexible short-term support </w:t>
      </w:r>
      <w:r w:rsidR="00DA4539" w:rsidRPr="00F95AA8">
        <w:rPr>
          <w:rFonts w:ascii="Verdana" w:eastAsia="Times New Roman" w:hAnsi="Verdana" w:cstheme="minorHAnsi"/>
          <w:sz w:val="20"/>
          <w:szCs w:val="20"/>
          <w:lang w:val="en" w:eastAsia="en-GB"/>
        </w:rPr>
        <w:t>for research</w:t>
      </w:r>
      <w:r w:rsidRPr="00F95AA8">
        <w:rPr>
          <w:rFonts w:ascii="Verdana" w:eastAsia="Times New Roman" w:hAnsi="Verdana" w:cstheme="minorHAnsi"/>
          <w:sz w:val="20"/>
          <w:szCs w:val="20"/>
          <w:lang w:val="en" w:eastAsia="en-GB"/>
        </w:rPr>
        <w:t xml:space="preserve"> </w:t>
      </w:r>
      <w:r w:rsidR="008A0187" w:rsidRPr="00F95AA8">
        <w:rPr>
          <w:rFonts w:ascii="Verdana" w:eastAsia="Times New Roman" w:hAnsi="Verdana" w:cstheme="minorHAnsi"/>
          <w:sz w:val="20"/>
          <w:szCs w:val="20"/>
          <w:lang w:val="en" w:eastAsia="en-GB"/>
        </w:rPr>
        <w:t xml:space="preserve">that will provide new insights and stimulate creative thinking to tackle the real world problems </w:t>
      </w:r>
      <w:r w:rsidR="00737130" w:rsidRPr="00F95AA8">
        <w:rPr>
          <w:rFonts w:ascii="Verdana" w:eastAsia="Times New Roman" w:hAnsi="Verdana" w:cstheme="minorHAnsi"/>
          <w:sz w:val="20"/>
          <w:szCs w:val="20"/>
          <w:lang w:val="en" w:eastAsia="en-GB"/>
        </w:rPr>
        <w:t xml:space="preserve">and will contribute to the economic development and welfare of </w:t>
      </w:r>
      <w:r w:rsidR="009311E2" w:rsidRPr="00F95AA8">
        <w:rPr>
          <w:rFonts w:ascii="Verdana" w:eastAsia="Times New Roman" w:hAnsi="Verdana" w:cstheme="minorHAnsi"/>
          <w:sz w:val="20"/>
          <w:szCs w:val="20"/>
          <w:lang w:val="en" w:eastAsia="en-GB"/>
        </w:rPr>
        <w:t>Southeast</w:t>
      </w:r>
      <w:r w:rsidR="00737130" w:rsidRPr="00F95AA8">
        <w:rPr>
          <w:rFonts w:ascii="Verdana" w:eastAsia="Times New Roman" w:hAnsi="Verdana" w:cstheme="minorHAnsi"/>
          <w:sz w:val="20"/>
          <w:szCs w:val="20"/>
          <w:lang w:val="en" w:eastAsia="en-GB"/>
        </w:rPr>
        <w:t xml:space="preserve"> Asia. </w:t>
      </w:r>
      <w:r w:rsidR="008A0187" w:rsidRPr="00F95AA8">
        <w:rPr>
          <w:rFonts w:ascii="Verdana" w:eastAsia="Times New Roman" w:hAnsi="Verdana" w:cstheme="minorHAnsi"/>
          <w:sz w:val="20"/>
          <w:szCs w:val="20"/>
          <w:lang w:val="en" w:eastAsia="en-GB"/>
        </w:rPr>
        <w:t xml:space="preserve">Proposals could bring new collaborations and different disciplines/approaches together, and enable researchers to explore new regional </w:t>
      </w:r>
      <w:r w:rsidR="00DE32EE" w:rsidRPr="00F95AA8">
        <w:rPr>
          <w:rFonts w:ascii="Verdana" w:eastAsia="Times New Roman" w:hAnsi="Verdana" w:cstheme="minorHAnsi"/>
          <w:sz w:val="20"/>
          <w:szCs w:val="20"/>
          <w:lang w:val="en" w:eastAsia="en-GB"/>
        </w:rPr>
        <w:t xml:space="preserve">or international </w:t>
      </w:r>
      <w:r w:rsidR="008A0187" w:rsidRPr="00F95AA8">
        <w:rPr>
          <w:rFonts w:ascii="Verdana" w:eastAsia="Times New Roman" w:hAnsi="Verdana" w:cstheme="minorHAnsi"/>
          <w:sz w:val="20"/>
          <w:szCs w:val="20"/>
          <w:lang w:val="en" w:eastAsia="en-GB"/>
        </w:rPr>
        <w:t xml:space="preserve">approaches. </w:t>
      </w:r>
    </w:p>
    <w:p w14:paraId="4EAEF02F" w14:textId="0E157D8A" w:rsidR="008A0187" w:rsidRPr="00F95AA8" w:rsidRDefault="008A0187" w:rsidP="00F95AA8">
      <w:pPr>
        <w:jc w:val="both"/>
        <w:rPr>
          <w:rFonts w:ascii="Verdana" w:eastAsia="Times New Roman" w:hAnsi="Verdana" w:cstheme="minorHAnsi"/>
          <w:sz w:val="20"/>
          <w:szCs w:val="20"/>
          <w:lang w:val="en" w:eastAsia="en-GB"/>
        </w:rPr>
      </w:pPr>
      <w:r w:rsidRPr="00F95AA8">
        <w:rPr>
          <w:rFonts w:ascii="Verdana" w:eastAsia="Times New Roman" w:hAnsi="Verdana" w:cstheme="minorHAnsi"/>
          <w:sz w:val="20"/>
          <w:szCs w:val="20"/>
          <w:lang w:val="en" w:eastAsia="en-GB"/>
        </w:rPr>
        <w:t>Successful proposals are expected to generate robust data which will lay the groundwork for future avenues of investigation. Small Scale Research Partnership Grants are not intended</w:t>
      </w:r>
      <w:r w:rsidR="00552D4C" w:rsidRPr="00F95AA8">
        <w:rPr>
          <w:rFonts w:ascii="Verdana" w:eastAsia="Times New Roman" w:hAnsi="Verdana" w:cstheme="minorHAnsi"/>
          <w:sz w:val="20"/>
          <w:szCs w:val="20"/>
          <w:lang w:val="en" w:eastAsia="en-GB"/>
        </w:rPr>
        <w:t xml:space="preserve"> </w:t>
      </w:r>
      <w:r w:rsidRPr="00F95AA8">
        <w:rPr>
          <w:rFonts w:ascii="Verdana" w:eastAsia="Times New Roman" w:hAnsi="Verdana" w:cstheme="minorHAnsi"/>
          <w:sz w:val="20"/>
          <w:szCs w:val="20"/>
          <w:lang w:val="en" w:eastAsia="en-GB"/>
        </w:rPr>
        <w:t>to support a logical progression of an already established research project or other types of on-going work; therefore, the nature of these awards will be more exploratory. Although an element of networking is permissible through these grants, grants should aim to have some form of tangible output.</w:t>
      </w:r>
    </w:p>
    <w:p w14:paraId="11E9C0E8" w14:textId="4BD7C70B" w:rsidR="008A0187" w:rsidRPr="00F95AA8" w:rsidRDefault="008A0187" w:rsidP="00F95AA8">
      <w:pPr>
        <w:jc w:val="both"/>
        <w:rPr>
          <w:rFonts w:ascii="Verdana" w:hAnsi="Verdana"/>
          <w:sz w:val="20"/>
          <w:szCs w:val="20"/>
          <w:lang w:val="en"/>
        </w:rPr>
      </w:pPr>
      <w:r w:rsidRPr="00F95AA8">
        <w:rPr>
          <w:rFonts w:ascii="Verdana" w:hAnsi="Verdana"/>
          <w:sz w:val="20"/>
          <w:szCs w:val="20"/>
          <w:lang w:val="en"/>
        </w:rPr>
        <w:t xml:space="preserve">Early career researchers are particularly encouraged to </w:t>
      </w:r>
      <w:r w:rsidR="00F24983" w:rsidRPr="00F95AA8">
        <w:rPr>
          <w:rFonts w:ascii="Verdana" w:hAnsi="Verdana"/>
          <w:sz w:val="20"/>
          <w:szCs w:val="20"/>
          <w:lang w:val="en"/>
        </w:rPr>
        <w:t>apply. Please</w:t>
      </w:r>
      <w:r w:rsidR="00873FF6" w:rsidRPr="00F95AA8">
        <w:rPr>
          <w:rFonts w:ascii="Verdana" w:hAnsi="Verdana"/>
          <w:sz w:val="20"/>
          <w:szCs w:val="20"/>
          <w:lang w:val="en"/>
        </w:rPr>
        <w:t xml:space="preserve"> check </w:t>
      </w:r>
      <w:r w:rsidR="005C6A98" w:rsidRPr="00F95AA8">
        <w:rPr>
          <w:rFonts w:ascii="Verdana" w:hAnsi="Verdana"/>
          <w:sz w:val="20"/>
          <w:szCs w:val="20"/>
          <w:lang w:val="en"/>
        </w:rPr>
        <w:t xml:space="preserve">the </w:t>
      </w:r>
      <w:r w:rsidR="00873FF6" w:rsidRPr="00F95AA8">
        <w:rPr>
          <w:rFonts w:ascii="Verdana" w:hAnsi="Verdana"/>
          <w:sz w:val="20"/>
          <w:szCs w:val="20"/>
          <w:lang w:val="en"/>
        </w:rPr>
        <w:t>Eligibility Criteria</w:t>
      </w:r>
      <w:r w:rsidR="005C6A98" w:rsidRPr="00F95AA8">
        <w:rPr>
          <w:rFonts w:ascii="Verdana" w:hAnsi="Verdana"/>
          <w:sz w:val="20"/>
          <w:szCs w:val="20"/>
          <w:lang w:val="en"/>
        </w:rPr>
        <w:t xml:space="preserve"> of each funding agency</w:t>
      </w:r>
      <w:r w:rsidR="00873FF6" w:rsidRPr="00F95AA8">
        <w:rPr>
          <w:rFonts w:ascii="Verdana" w:hAnsi="Verdana"/>
          <w:sz w:val="20"/>
          <w:szCs w:val="20"/>
          <w:lang w:val="en"/>
        </w:rPr>
        <w:t>.</w:t>
      </w:r>
    </w:p>
    <w:p w14:paraId="09CA8945" w14:textId="3542142B" w:rsidR="00737130" w:rsidRPr="00F95AA8" w:rsidRDefault="00737130" w:rsidP="00F95AA8">
      <w:pPr>
        <w:jc w:val="both"/>
        <w:rPr>
          <w:rFonts w:ascii="Verdana" w:eastAsia="Times New Roman" w:hAnsi="Verdana" w:cstheme="minorHAnsi"/>
          <w:sz w:val="20"/>
          <w:szCs w:val="20"/>
          <w:lang w:val="en" w:eastAsia="en-GB"/>
        </w:rPr>
      </w:pPr>
      <w:r w:rsidRPr="00F95AA8">
        <w:rPr>
          <w:rFonts w:ascii="Verdana" w:eastAsia="Times New Roman" w:hAnsi="Verdana" w:cstheme="minorHAnsi"/>
          <w:sz w:val="20"/>
          <w:szCs w:val="20"/>
          <w:lang w:val="en" w:eastAsia="en-GB"/>
        </w:rPr>
        <w:t>We invite proposals which address the following topics:</w:t>
      </w:r>
    </w:p>
    <w:p w14:paraId="4202CCE6" w14:textId="08C9057E" w:rsidR="008D73F3" w:rsidRPr="00F95AA8" w:rsidRDefault="008D73F3" w:rsidP="00F95AA8">
      <w:pPr>
        <w:pStyle w:val="ListParagraph"/>
        <w:numPr>
          <w:ilvl w:val="0"/>
          <w:numId w:val="12"/>
        </w:numPr>
        <w:jc w:val="both"/>
        <w:rPr>
          <w:rFonts w:ascii="Verdana" w:hAnsi="Verdana" w:cstheme="minorHAnsi"/>
          <w:sz w:val="20"/>
          <w:szCs w:val="20"/>
        </w:rPr>
      </w:pPr>
      <w:r w:rsidRPr="00F95AA8">
        <w:rPr>
          <w:rFonts w:ascii="Verdana" w:hAnsi="Verdana" w:cstheme="minorHAnsi"/>
          <w:sz w:val="20"/>
          <w:szCs w:val="20"/>
        </w:rPr>
        <w:t xml:space="preserve">Creative Economy </w:t>
      </w:r>
      <w:r w:rsidR="008E3DEC" w:rsidRPr="00F95AA8">
        <w:rPr>
          <w:rFonts w:ascii="Verdana" w:hAnsi="Verdana" w:cstheme="minorHAnsi"/>
          <w:sz w:val="20"/>
          <w:szCs w:val="20"/>
        </w:rPr>
        <w:t>and</w:t>
      </w:r>
      <w:r w:rsidRPr="00F95AA8">
        <w:rPr>
          <w:rFonts w:ascii="Verdana" w:hAnsi="Verdana" w:cstheme="minorHAnsi"/>
          <w:sz w:val="20"/>
          <w:szCs w:val="20"/>
        </w:rPr>
        <w:t xml:space="preserve"> Cultural Heritage</w:t>
      </w:r>
      <w:r w:rsidR="00456939" w:rsidRPr="00F95AA8">
        <w:rPr>
          <w:rFonts w:ascii="Verdana" w:hAnsi="Verdana" w:cstheme="minorHAnsi"/>
          <w:sz w:val="20"/>
          <w:szCs w:val="20"/>
        </w:rPr>
        <w:t xml:space="preserve"> (Malaysia only)</w:t>
      </w:r>
    </w:p>
    <w:p w14:paraId="4229FC63" w14:textId="51D1EDF8" w:rsidR="008D73F3" w:rsidRPr="00F95AA8" w:rsidRDefault="008D73F3" w:rsidP="00F95AA8">
      <w:pPr>
        <w:pStyle w:val="ListParagraph"/>
        <w:numPr>
          <w:ilvl w:val="0"/>
          <w:numId w:val="12"/>
        </w:numPr>
        <w:jc w:val="both"/>
        <w:rPr>
          <w:rFonts w:ascii="Verdana" w:hAnsi="Verdana" w:cstheme="minorHAnsi"/>
          <w:sz w:val="20"/>
          <w:szCs w:val="20"/>
        </w:rPr>
      </w:pPr>
      <w:r w:rsidRPr="00F95AA8">
        <w:rPr>
          <w:rFonts w:ascii="Verdana" w:hAnsi="Verdana" w:cstheme="minorHAnsi"/>
          <w:sz w:val="20"/>
          <w:szCs w:val="20"/>
        </w:rPr>
        <w:t>Energy</w:t>
      </w:r>
      <w:r w:rsidR="008E3DEC" w:rsidRPr="00F95AA8">
        <w:rPr>
          <w:rFonts w:ascii="Verdana" w:hAnsi="Verdana" w:cstheme="minorHAnsi"/>
          <w:sz w:val="20"/>
          <w:szCs w:val="20"/>
        </w:rPr>
        <w:t xml:space="preserve"> </w:t>
      </w:r>
      <w:r w:rsidRPr="00F95AA8">
        <w:rPr>
          <w:rFonts w:ascii="Verdana" w:hAnsi="Verdana" w:cstheme="minorHAnsi"/>
          <w:sz w:val="20"/>
          <w:szCs w:val="20"/>
        </w:rPr>
        <w:t xml:space="preserve">- Food </w:t>
      </w:r>
      <w:r w:rsidR="00972AA2" w:rsidRPr="00F95AA8">
        <w:rPr>
          <w:rFonts w:ascii="Verdana" w:hAnsi="Verdana" w:cstheme="minorHAnsi"/>
          <w:sz w:val="20"/>
          <w:szCs w:val="20"/>
        </w:rPr>
        <w:t>–</w:t>
      </w:r>
      <w:r w:rsidRPr="00F95AA8">
        <w:rPr>
          <w:rFonts w:ascii="Verdana" w:hAnsi="Verdana" w:cstheme="minorHAnsi"/>
          <w:sz w:val="20"/>
          <w:szCs w:val="20"/>
        </w:rPr>
        <w:t xml:space="preserve"> Water</w:t>
      </w:r>
      <w:r w:rsidR="00B34D4E" w:rsidRPr="00F95AA8">
        <w:rPr>
          <w:rFonts w:ascii="Verdana" w:hAnsi="Verdana" w:cstheme="minorHAnsi"/>
          <w:sz w:val="20"/>
          <w:szCs w:val="20"/>
        </w:rPr>
        <w:t xml:space="preserve"> </w:t>
      </w:r>
      <w:r w:rsidR="00972AA2" w:rsidRPr="00F95AA8">
        <w:rPr>
          <w:rFonts w:ascii="Verdana" w:hAnsi="Verdana" w:cstheme="minorHAnsi"/>
          <w:sz w:val="20"/>
          <w:szCs w:val="20"/>
        </w:rPr>
        <w:t>-</w:t>
      </w:r>
      <w:r w:rsidR="00B34D4E" w:rsidRPr="00F95AA8">
        <w:rPr>
          <w:rFonts w:ascii="Verdana" w:hAnsi="Verdana" w:cstheme="minorHAnsi"/>
          <w:sz w:val="20"/>
          <w:szCs w:val="20"/>
        </w:rPr>
        <w:t xml:space="preserve"> </w:t>
      </w:r>
      <w:r w:rsidR="00972AA2" w:rsidRPr="00F95AA8">
        <w:rPr>
          <w:rFonts w:ascii="Verdana" w:hAnsi="Verdana" w:cstheme="minorHAnsi"/>
          <w:sz w:val="20"/>
          <w:szCs w:val="20"/>
        </w:rPr>
        <w:t>Environment</w:t>
      </w:r>
      <w:r w:rsidRPr="00F95AA8">
        <w:rPr>
          <w:rFonts w:ascii="Verdana" w:hAnsi="Verdana" w:cstheme="minorHAnsi"/>
          <w:sz w:val="20"/>
          <w:szCs w:val="20"/>
        </w:rPr>
        <w:t xml:space="preserve"> Nexus</w:t>
      </w:r>
      <w:r w:rsidR="00456939" w:rsidRPr="00F95AA8">
        <w:rPr>
          <w:rFonts w:ascii="Verdana" w:hAnsi="Verdana" w:cstheme="minorHAnsi"/>
          <w:sz w:val="20"/>
          <w:szCs w:val="20"/>
        </w:rPr>
        <w:t xml:space="preserve"> (Indonesia, Malaysia, Philippines, Thailand)</w:t>
      </w:r>
    </w:p>
    <w:p w14:paraId="662AEB83" w14:textId="44174019" w:rsidR="00191BB3" w:rsidRPr="00F95AA8" w:rsidRDefault="008D73F3" w:rsidP="00F95AA8">
      <w:pPr>
        <w:pStyle w:val="ListParagraph"/>
        <w:numPr>
          <w:ilvl w:val="0"/>
          <w:numId w:val="12"/>
        </w:numPr>
        <w:jc w:val="both"/>
        <w:rPr>
          <w:rFonts w:ascii="Verdana" w:hAnsi="Verdana" w:cstheme="minorHAnsi"/>
          <w:sz w:val="20"/>
          <w:szCs w:val="20"/>
        </w:rPr>
      </w:pPr>
      <w:r w:rsidRPr="00F95AA8">
        <w:rPr>
          <w:rFonts w:ascii="Verdana" w:hAnsi="Verdana" w:cstheme="minorHAnsi"/>
          <w:sz w:val="20"/>
          <w:szCs w:val="20"/>
        </w:rPr>
        <w:t>Mental Health</w:t>
      </w:r>
      <w:r w:rsidR="00456939" w:rsidRPr="00F95AA8">
        <w:rPr>
          <w:rFonts w:ascii="Verdana" w:hAnsi="Verdana" w:cstheme="minorHAnsi"/>
          <w:sz w:val="20"/>
          <w:szCs w:val="20"/>
        </w:rPr>
        <w:t xml:space="preserve"> (Indonesia, Malaysia, </w:t>
      </w:r>
      <w:r w:rsidR="00F24983" w:rsidRPr="00F95AA8">
        <w:rPr>
          <w:rFonts w:ascii="Verdana" w:hAnsi="Verdana" w:cstheme="minorHAnsi"/>
          <w:sz w:val="20"/>
          <w:szCs w:val="20"/>
        </w:rPr>
        <w:t>Philippines</w:t>
      </w:r>
      <w:r w:rsidR="00456939" w:rsidRPr="00F95AA8">
        <w:rPr>
          <w:rFonts w:ascii="Verdana" w:hAnsi="Verdana" w:cstheme="minorHAnsi"/>
          <w:sz w:val="20"/>
          <w:szCs w:val="20"/>
        </w:rPr>
        <w:t>)</w:t>
      </w:r>
    </w:p>
    <w:p w14:paraId="3B95FD16" w14:textId="3CE6E690" w:rsidR="007C0D2E" w:rsidRPr="00F95AA8" w:rsidRDefault="007C0D2E" w:rsidP="00F95AA8">
      <w:pPr>
        <w:pStyle w:val="ListParagraph"/>
        <w:numPr>
          <w:ilvl w:val="0"/>
          <w:numId w:val="12"/>
        </w:numPr>
        <w:jc w:val="both"/>
        <w:rPr>
          <w:rFonts w:ascii="Verdana" w:hAnsi="Verdana" w:cstheme="minorHAnsi"/>
          <w:sz w:val="20"/>
          <w:szCs w:val="20"/>
        </w:rPr>
      </w:pPr>
      <w:r w:rsidRPr="00F95AA8">
        <w:rPr>
          <w:rFonts w:ascii="Verdana" w:hAnsi="Verdana" w:cstheme="minorHAnsi"/>
          <w:sz w:val="20"/>
          <w:szCs w:val="20"/>
        </w:rPr>
        <w:t xml:space="preserve">Capacity Building in Big Data and Technology Development through Astronomy </w:t>
      </w:r>
      <w:r w:rsidR="00456939" w:rsidRPr="00F95AA8">
        <w:rPr>
          <w:rFonts w:ascii="Verdana" w:hAnsi="Verdana" w:cstheme="minorHAnsi"/>
          <w:sz w:val="20"/>
          <w:szCs w:val="20"/>
        </w:rPr>
        <w:t>(Indonesia, Malaysia)</w:t>
      </w:r>
    </w:p>
    <w:p w14:paraId="5F284118" w14:textId="4F17D231" w:rsidR="008D73F3" w:rsidRPr="00F95AA8" w:rsidRDefault="00191BB3" w:rsidP="00F95AA8">
      <w:pPr>
        <w:pStyle w:val="ListParagraph"/>
        <w:numPr>
          <w:ilvl w:val="0"/>
          <w:numId w:val="12"/>
        </w:numPr>
        <w:jc w:val="both"/>
        <w:rPr>
          <w:rFonts w:ascii="Verdana" w:eastAsia="Arial Unicode MS" w:hAnsi="Verdana" w:cs="Arial Unicode MS"/>
          <w:b/>
          <w:sz w:val="20"/>
          <w:szCs w:val="20"/>
          <w:u w:val="single"/>
        </w:rPr>
      </w:pPr>
      <w:r w:rsidRPr="00F95AA8">
        <w:rPr>
          <w:rFonts w:ascii="Verdana" w:eastAsia="Arial Unicode MS" w:hAnsi="Verdana" w:cs="Arial Unicode MS"/>
          <w:sz w:val="20"/>
          <w:szCs w:val="20"/>
        </w:rPr>
        <w:t>Skills for using Large Facilities</w:t>
      </w:r>
      <w:r w:rsidR="00B34D4E" w:rsidRPr="00F95AA8">
        <w:rPr>
          <w:rFonts w:ascii="Verdana" w:eastAsia="Arial Unicode MS" w:hAnsi="Verdana" w:cs="Arial Unicode MS"/>
          <w:sz w:val="20"/>
          <w:szCs w:val="20"/>
        </w:rPr>
        <w:t xml:space="preserve"> </w:t>
      </w:r>
      <w:r w:rsidR="00456939" w:rsidRPr="00F95AA8">
        <w:rPr>
          <w:rFonts w:ascii="Verdana" w:eastAsia="Arial Unicode MS" w:hAnsi="Verdana" w:cs="Arial Unicode MS"/>
          <w:sz w:val="20"/>
          <w:szCs w:val="20"/>
        </w:rPr>
        <w:t>(Indonesia, Malaysia)</w:t>
      </w:r>
    </w:p>
    <w:p w14:paraId="34214E5A" w14:textId="5B1D63B3" w:rsidR="00737130" w:rsidRPr="00F95AA8" w:rsidRDefault="00737130" w:rsidP="00F95AA8">
      <w:pPr>
        <w:jc w:val="both"/>
        <w:rPr>
          <w:rFonts w:ascii="Verdana" w:hAnsi="Verdana" w:cstheme="minorHAnsi"/>
          <w:sz w:val="20"/>
          <w:szCs w:val="20"/>
        </w:rPr>
      </w:pPr>
      <w:r w:rsidRPr="00F95AA8">
        <w:rPr>
          <w:rFonts w:ascii="Verdana" w:hAnsi="Verdana" w:cstheme="minorHAnsi"/>
          <w:sz w:val="20"/>
          <w:szCs w:val="20"/>
        </w:rPr>
        <w:t xml:space="preserve">The longer term objective is to establish sustainable collaborations between UK and </w:t>
      </w:r>
      <w:r w:rsidR="009311E2" w:rsidRPr="00F95AA8">
        <w:rPr>
          <w:rFonts w:ascii="Verdana" w:hAnsi="Verdana" w:cstheme="minorHAnsi"/>
          <w:sz w:val="20"/>
          <w:szCs w:val="20"/>
        </w:rPr>
        <w:t>Southeast</w:t>
      </w:r>
      <w:r w:rsidRPr="00F95AA8">
        <w:rPr>
          <w:rFonts w:ascii="Verdana" w:hAnsi="Verdana" w:cstheme="minorHAnsi"/>
          <w:sz w:val="20"/>
          <w:szCs w:val="20"/>
        </w:rPr>
        <w:t xml:space="preserve"> Asian researchers that will increase the competitiveness of these researchers in gaining funds for excellent research in future funding calls, either under the Newton Fund or through other routes.</w:t>
      </w:r>
    </w:p>
    <w:p w14:paraId="0068C91A" w14:textId="4332B689" w:rsidR="001A4DF6" w:rsidRPr="00F95AA8" w:rsidRDefault="00E96AE3" w:rsidP="00F95AA8">
      <w:pPr>
        <w:pStyle w:val="NoSpacing"/>
        <w:jc w:val="both"/>
      </w:pPr>
      <w:r w:rsidRPr="00F95AA8">
        <w:rPr>
          <w:rFonts w:cstheme="minorHAnsi"/>
        </w:rPr>
        <w:t xml:space="preserve">Please note that different </w:t>
      </w:r>
      <w:r w:rsidR="009311E2" w:rsidRPr="00F95AA8">
        <w:rPr>
          <w:rFonts w:cstheme="minorHAnsi"/>
        </w:rPr>
        <w:t>Southeast</w:t>
      </w:r>
      <w:r w:rsidR="003B749F" w:rsidRPr="00F95AA8">
        <w:rPr>
          <w:rFonts w:cstheme="minorHAnsi"/>
        </w:rPr>
        <w:t xml:space="preserve"> Asian </w:t>
      </w:r>
      <w:r w:rsidRPr="00F95AA8">
        <w:rPr>
          <w:rFonts w:cstheme="minorHAnsi"/>
        </w:rPr>
        <w:t xml:space="preserve">partners are taking part in different topics, for information on which </w:t>
      </w:r>
      <w:r w:rsidR="009311E2" w:rsidRPr="00F95AA8">
        <w:rPr>
          <w:rFonts w:cstheme="minorHAnsi"/>
        </w:rPr>
        <w:t>Southeast</w:t>
      </w:r>
      <w:r w:rsidRPr="00F95AA8">
        <w:rPr>
          <w:rFonts w:cstheme="minorHAnsi"/>
        </w:rPr>
        <w:t xml:space="preserve"> Asian Countries</w:t>
      </w:r>
      <w:r w:rsidR="003B749F" w:rsidRPr="00F95AA8">
        <w:rPr>
          <w:rFonts w:cstheme="minorHAnsi"/>
        </w:rPr>
        <w:t xml:space="preserve"> can participate in which topic, their </w:t>
      </w:r>
      <w:r w:rsidR="00DA4539" w:rsidRPr="00F95AA8">
        <w:rPr>
          <w:rFonts w:cstheme="minorHAnsi"/>
        </w:rPr>
        <w:lastRenderedPageBreak/>
        <w:t>eligibility</w:t>
      </w:r>
      <w:r w:rsidR="003B749F" w:rsidRPr="00F95AA8">
        <w:rPr>
          <w:rFonts w:cstheme="minorHAnsi"/>
        </w:rPr>
        <w:t xml:space="preserve"> rules and the amount of funding available </w:t>
      </w:r>
      <w:r w:rsidRPr="00F95AA8">
        <w:rPr>
          <w:rFonts w:cstheme="minorHAnsi"/>
        </w:rPr>
        <w:t>pleas</w:t>
      </w:r>
      <w:r w:rsidR="003B749F" w:rsidRPr="00F95AA8">
        <w:rPr>
          <w:rFonts w:cstheme="minorHAnsi"/>
        </w:rPr>
        <w:t xml:space="preserve">e refer to </w:t>
      </w:r>
      <w:r w:rsidR="001A4DF6" w:rsidRPr="00F95AA8">
        <w:rPr>
          <w:rFonts w:cstheme="minorHAnsi"/>
        </w:rPr>
        <w:t xml:space="preserve">the </w:t>
      </w:r>
      <w:hyperlink r:id="rId21" w:history="1">
        <w:r w:rsidR="001A4DF6" w:rsidRPr="00964399">
          <w:rPr>
            <w:color w:val="0070C0"/>
            <w:u w:val="single"/>
            <w:lang w:val="en"/>
          </w:rPr>
          <w:t>application guidance</w:t>
        </w:r>
      </w:hyperlink>
      <w:r w:rsidR="001A4DF6" w:rsidRPr="00F95AA8">
        <w:rPr>
          <w:rFonts w:cstheme="minorHAnsi"/>
          <w:color w:val="0070C0"/>
        </w:rPr>
        <w:t xml:space="preserve">. </w:t>
      </w:r>
      <w:r w:rsidRPr="00F95AA8">
        <w:rPr>
          <w:rFonts w:cstheme="minorHAnsi"/>
          <w:color w:val="0070C0"/>
        </w:rPr>
        <w:t xml:space="preserve"> </w:t>
      </w:r>
      <w:r w:rsidR="001A4DF6" w:rsidRPr="00F95AA8">
        <w:rPr>
          <w:b/>
        </w:rPr>
        <w:t>Please note failure to attach the mandatory attachments and complete the proposal form as outlined in the application guidance could result in your proposal being rejected.</w:t>
      </w:r>
      <w:r w:rsidR="001A4DF6" w:rsidRPr="00F95AA8">
        <w:t xml:space="preserve"> </w:t>
      </w:r>
      <w:r w:rsidR="001A4DF6" w:rsidRPr="00F95AA8">
        <w:rPr>
          <w:b/>
        </w:rPr>
        <w:t xml:space="preserve">Please ensure you read the guidance thoroughly before starting your proposal. </w:t>
      </w:r>
    </w:p>
    <w:p w14:paraId="77CD355E" w14:textId="17761DC9" w:rsidR="005E5E2E" w:rsidRPr="00F95AA8" w:rsidRDefault="00737130" w:rsidP="00F95AA8">
      <w:pPr>
        <w:jc w:val="both"/>
        <w:rPr>
          <w:rFonts w:ascii="Verdana" w:hAnsi="Verdana" w:cstheme="minorHAnsi"/>
          <w:sz w:val="20"/>
          <w:szCs w:val="20"/>
        </w:rPr>
      </w:pPr>
      <w:r w:rsidRPr="00F95AA8">
        <w:rPr>
          <w:rFonts w:ascii="Verdana" w:hAnsi="Verdana" w:cstheme="minorHAnsi"/>
          <w:sz w:val="20"/>
          <w:szCs w:val="20"/>
        </w:rPr>
        <w:br/>
      </w:r>
      <w:r w:rsidR="00D900ED" w:rsidRPr="00F95AA8">
        <w:rPr>
          <w:rFonts w:ascii="Verdana" w:hAnsi="Verdana" w:cstheme="minorHAnsi"/>
          <w:sz w:val="20"/>
          <w:szCs w:val="20"/>
        </w:rPr>
        <w:t>Proposals within the themes listed above are welcomed from across the remits of the UK Research Councils.  Recognising the multidisciplinary nature of the thematic areas, the development of interdisciplinary collaborations is particularly welcome.</w:t>
      </w:r>
      <w:r w:rsidR="005E5E2E" w:rsidRPr="00F95AA8">
        <w:rPr>
          <w:rFonts w:ascii="Verdana" w:hAnsi="Verdana" w:cstheme="minorHAnsi"/>
          <w:sz w:val="20"/>
          <w:szCs w:val="20"/>
        </w:rPr>
        <w:t xml:space="preserve"> </w:t>
      </w:r>
    </w:p>
    <w:p w14:paraId="77CD355F" w14:textId="0DE1EBC1" w:rsidR="00D900ED" w:rsidRPr="00F95AA8" w:rsidRDefault="00D900ED" w:rsidP="00F95AA8">
      <w:pPr>
        <w:jc w:val="both"/>
        <w:rPr>
          <w:rFonts w:ascii="Verdana" w:hAnsi="Verdana" w:cstheme="minorHAnsi"/>
          <w:sz w:val="20"/>
          <w:szCs w:val="20"/>
        </w:rPr>
      </w:pPr>
      <w:r w:rsidRPr="00F95AA8">
        <w:rPr>
          <w:rFonts w:ascii="Verdana" w:hAnsi="Verdana" w:cstheme="minorHAnsi"/>
          <w:sz w:val="20"/>
          <w:szCs w:val="20"/>
        </w:rPr>
        <w:t xml:space="preserve">Consortia should consider how their proposal makes the best use of available expertise in the UK and </w:t>
      </w:r>
      <w:r w:rsidR="009311E2" w:rsidRPr="00F95AA8">
        <w:rPr>
          <w:rFonts w:ascii="Verdana" w:hAnsi="Verdana" w:cstheme="minorHAnsi"/>
          <w:sz w:val="20"/>
          <w:szCs w:val="20"/>
        </w:rPr>
        <w:t>Southeast</w:t>
      </w:r>
      <w:r w:rsidR="00AE09A9" w:rsidRPr="00F95AA8">
        <w:rPr>
          <w:rFonts w:ascii="Verdana" w:hAnsi="Verdana" w:cstheme="minorHAnsi"/>
          <w:sz w:val="20"/>
          <w:szCs w:val="20"/>
        </w:rPr>
        <w:t xml:space="preserve"> Asia</w:t>
      </w:r>
      <w:r w:rsidR="00D279F4" w:rsidRPr="00F95AA8">
        <w:rPr>
          <w:rFonts w:ascii="Verdana" w:hAnsi="Verdana" w:cstheme="minorHAnsi"/>
          <w:sz w:val="20"/>
          <w:szCs w:val="20"/>
        </w:rPr>
        <w:t>,</w:t>
      </w:r>
      <w:r w:rsidRPr="00F95AA8">
        <w:rPr>
          <w:rFonts w:ascii="Verdana" w:hAnsi="Verdana" w:cstheme="minorHAnsi"/>
          <w:sz w:val="20"/>
          <w:szCs w:val="20"/>
        </w:rPr>
        <w:t xml:space="preserve"> the added value of collaboration and how the proposal will meet the </w:t>
      </w:r>
      <w:r w:rsidRPr="00F95AA8">
        <w:rPr>
          <w:rFonts w:ascii="Verdana" w:hAnsi="Verdana" w:cstheme="minorHAnsi"/>
          <w:b/>
          <w:sz w:val="20"/>
          <w:szCs w:val="20"/>
        </w:rPr>
        <w:t>O</w:t>
      </w:r>
      <w:r w:rsidR="00B8667C" w:rsidRPr="00F95AA8">
        <w:rPr>
          <w:rFonts w:ascii="Verdana" w:hAnsi="Verdana" w:cstheme="minorHAnsi"/>
          <w:b/>
          <w:sz w:val="20"/>
          <w:szCs w:val="20"/>
        </w:rPr>
        <w:t xml:space="preserve">fficial </w:t>
      </w:r>
      <w:r w:rsidRPr="00F95AA8">
        <w:rPr>
          <w:rFonts w:ascii="Verdana" w:hAnsi="Verdana" w:cstheme="minorHAnsi"/>
          <w:b/>
          <w:sz w:val="20"/>
          <w:szCs w:val="20"/>
        </w:rPr>
        <w:t>D</w:t>
      </w:r>
      <w:r w:rsidR="00B8667C" w:rsidRPr="00F95AA8">
        <w:rPr>
          <w:rFonts w:ascii="Verdana" w:hAnsi="Verdana" w:cstheme="minorHAnsi"/>
          <w:b/>
          <w:sz w:val="20"/>
          <w:szCs w:val="20"/>
        </w:rPr>
        <w:t xml:space="preserve">evelopment </w:t>
      </w:r>
      <w:r w:rsidRPr="00F95AA8">
        <w:rPr>
          <w:rFonts w:ascii="Verdana" w:hAnsi="Verdana" w:cstheme="minorHAnsi"/>
          <w:b/>
          <w:sz w:val="20"/>
          <w:szCs w:val="20"/>
        </w:rPr>
        <w:t>A</w:t>
      </w:r>
      <w:r w:rsidR="00B8667C" w:rsidRPr="00F95AA8">
        <w:rPr>
          <w:rFonts w:ascii="Verdana" w:hAnsi="Verdana" w:cstheme="minorHAnsi"/>
          <w:b/>
          <w:sz w:val="20"/>
          <w:szCs w:val="20"/>
        </w:rPr>
        <w:t>ssistance (ODA)</w:t>
      </w:r>
      <w:r w:rsidR="00195DA3" w:rsidRPr="00F95AA8">
        <w:rPr>
          <w:rFonts w:ascii="Verdana" w:hAnsi="Verdana" w:cstheme="minorHAnsi"/>
          <w:sz w:val="20"/>
          <w:szCs w:val="20"/>
        </w:rPr>
        <w:t xml:space="preserve"> </w:t>
      </w:r>
      <w:r w:rsidRPr="00F95AA8">
        <w:rPr>
          <w:rFonts w:ascii="Verdana" w:hAnsi="Verdana" w:cstheme="minorHAnsi"/>
          <w:sz w:val="20"/>
          <w:szCs w:val="20"/>
        </w:rPr>
        <w:t xml:space="preserve">requirements of this Newton Fund activity.  </w:t>
      </w:r>
    </w:p>
    <w:p w14:paraId="77CD3562" w14:textId="77777777" w:rsidR="00667549" w:rsidRPr="008E3DEC" w:rsidRDefault="00667549" w:rsidP="00F95AA8">
      <w:pPr>
        <w:jc w:val="both"/>
        <w:rPr>
          <w:rStyle w:val="Hyperlink"/>
          <w:rFonts w:ascii="Verdana" w:hAnsi="Verdana" w:cstheme="minorHAnsi"/>
          <w:b/>
          <w:color w:val="auto"/>
          <w:sz w:val="20"/>
          <w:szCs w:val="20"/>
          <w:u w:val="single"/>
          <w:lang w:val="en"/>
        </w:rPr>
      </w:pPr>
      <w:r w:rsidRPr="008E3DEC">
        <w:rPr>
          <w:rStyle w:val="Hyperlink"/>
          <w:rFonts w:ascii="Verdana" w:hAnsi="Verdana" w:cstheme="minorHAnsi"/>
          <w:b/>
          <w:color w:val="auto"/>
          <w:sz w:val="20"/>
          <w:szCs w:val="20"/>
          <w:u w:val="single"/>
          <w:lang w:val="en"/>
        </w:rPr>
        <w:t>Background of the Newton Fund</w:t>
      </w:r>
    </w:p>
    <w:p w14:paraId="77CD3563" w14:textId="67898C58" w:rsidR="00B8667C" w:rsidRPr="00F95AA8" w:rsidRDefault="00B8667C" w:rsidP="00F95AA8">
      <w:pPr>
        <w:jc w:val="both"/>
        <w:rPr>
          <w:rFonts w:ascii="Verdana" w:hAnsi="Verdana" w:cstheme="minorHAnsi"/>
          <w:sz w:val="20"/>
          <w:szCs w:val="20"/>
          <w:lang w:val="en"/>
        </w:rPr>
      </w:pPr>
      <w:r w:rsidRPr="00F95AA8">
        <w:rPr>
          <w:rFonts w:ascii="Verdana" w:hAnsi="Verdana" w:cstheme="minorHAnsi"/>
          <w:sz w:val="20"/>
          <w:szCs w:val="20"/>
          <w:lang w:val="en"/>
        </w:rPr>
        <w:t xml:space="preserve">The UK contribution will be channeled from the Newton Fund. The Newton Fund is an initiative intended to strengthen research and innovation partnerships between the UK and emerging knowledge economies. It was launched by the Chancellor in April 2014, and will deliver </w:t>
      </w:r>
      <w:r w:rsidR="00E13D17" w:rsidRPr="00F95AA8">
        <w:rPr>
          <w:rFonts w:ascii="Verdana" w:hAnsi="Verdana" w:cstheme="minorHAnsi"/>
          <w:sz w:val="20"/>
          <w:szCs w:val="20"/>
          <w:lang w:val="en"/>
        </w:rPr>
        <w:t>£735</w:t>
      </w:r>
      <w:r w:rsidRPr="00F95AA8">
        <w:rPr>
          <w:rFonts w:ascii="Verdana" w:hAnsi="Verdana" w:cstheme="minorHAnsi"/>
          <w:sz w:val="20"/>
          <w:szCs w:val="20"/>
          <w:lang w:val="en"/>
        </w:rPr>
        <w:t xml:space="preserve">million of funding over the course of </w:t>
      </w:r>
      <w:r w:rsidR="00E13D17" w:rsidRPr="00F95AA8">
        <w:rPr>
          <w:rFonts w:ascii="Verdana" w:hAnsi="Verdana" w:cstheme="minorHAnsi"/>
          <w:sz w:val="20"/>
          <w:szCs w:val="20"/>
          <w:lang w:val="en"/>
        </w:rPr>
        <w:t>seven</w:t>
      </w:r>
      <w:r w:rsidRPr="00F95AA8">
        <w:rPr>
          <w:rFonts w:ascii="Verdana" w:hAnsi="Verdana" w:cstheme="minorHAnsi"/>
          <w:sz w:val="20"/>
          <w:szCs w:val="20"/>
          <w:lang w:val="en"/>
        </w:rPr>
        <w:t xml:space="preserve"> years.</w:t>
      </w:r>
    </w:p>
    <w:p w14:paraId="77CD3564" w14:textId="77777777" w:rsidR="00B8667C" w:rsidRPr="00F95AA8" w:rsidRDefault="00B8667C" w:rsidP="00F95AA8">
      <w:pPr>
        <w:jc w:val="both"/>
        <w:rPr>
          <w:rFonts w:ascii="Verdana" w:hAnsi="Verdana" w:cstheme="minorHAnsi"/>
          <w:sz w:val="20"/>
          <w:szCs w:val="20"/>
          <w:lang w:val="en"/>
        </w:rPr>
      </w:pPr>
      <w:r w:rsidRPr="00F95AA8">
        <w:rPr>
          <w:rFonts w:ascii="Verdana" w:hAnsi="Verdana" w:cstheme="minorHAnsi"/>
          <w:sz w:val="20"/>
          <w:szCs w:val="20"/>
          <w:lang w:val="en"/>
        </w:rPr>
        <w:t xml:space="preserve">The Fund forms part of the UK’s Official Development Assistance (ODA) commitment which is monitored by the Organisation for Economic Cooperation and Development (OECD). ODA funded activity focuses on outcomes that promote the long-term sustainable growth of countries on the OECD Development Assistance Committee list. Newton Fund countries represent a sub-set of this list. For more information, please visit the RCUK Newton Fund page; </w:t>
      </w:r>
      <w:r w:rsidRPr="00F95AA8">
        <w:rPr>
          <w:rFonts w:ascii="Verdana" w:hAnsi="Verdana" w:cstheme="minorHAnsi"/>
          <w:color w:val="0070C0"/>
          <w:sz w:val="20"/>
          <w:szCs w:val="20"/>
          <w:u w:val="single"/>
          <w:lang w:val="en"/>
        </w:rPr>
        <w:t>http://www.rcuk.ac.uk/international/newton/.</w:t>
      </w:r>
    </w:p>
    <w:p w14:paraId="77CD3565" w14:textId="77777777" w:rsidR="00B8667C" w:rsidRPr="00F95AA8" w:rsidRDefault="00B8667C" w:rsidP="00F95AA8">
      <w:pPr>
        <w:jc w:val="both"/>
        <w:rPr>
          <w:rFonts w:ascii="Verdana" w:hAnsi="Verdana" w:cstheme="minorHAnsi"/>
          <w:sz w:val="20"/>
          <w:szCs w:val="20"/>
          <w:lang w:val="en"/>
        </w:rPr>
      </w:pPr>
      <w:r w:rsidRPr="00F95AA8">
        <w:rPr>
          <w:rFonts w:ascii="Verdana" w:hAnsi="Verdana" w:cstheme="minorHAnsi"/>
          <w:sz w:val="20"/>
          <w:szCs w:val="20"/>
          <w:lang w:val="en"/>
        </w:rPr>
        <w:t xml:space="preserve">The Newton Fund requires that the funding be awarded in a manner that fits with Official Development Assistance (ODA) guidelines. All applications under this call must therefore be compliant with these guidelines. </w:t>
      </w:r>
      <w:hyperlink r:id="rId22" w:history="1">
        <w:r w:rsidRPr="00F95AA8">
          <w:rPr>
            <w:rStyle w:val="Hyperlink"/>
            <w:rFonts w:ascii="Verdana" w:hAnsi="Verdana" w:cstheme="minorHAnsi"/>
            <w:color w:val="0070C0"/>
            <w:sz w:val="20"/>
            <w:szCs w:val="20"/>
            <w:u w:val="single"/>
            <w:lang w:val="en"/>
          </w:rPr>
          <w:t>http://www.newtonfund.ac.uk/about/what-is-oda/</w:t>
        </w:r>
      </w:hyperlink>
    </w:p>
    <w:p w14:paraId="776D02E1" w14:textId="77777777" w:rsidR="008E3DEC" w:rsidRDefault="008E3DEC" w:rsidP="00F95AA8">
      <w:pPr>
        <w:jc w:val="both"/>
        <w:rPr>
          <w:rFonts w:ascii="Verdana" w:hAnsi="Verdana" w:cstheme="minorHAnsi"/>
          <w:b/>
          <w:color w:val="000000"/>
          <w:sz w:val="20"/>
          <w:szCs w:val="20"/>
          <w:u w:val="single"/>
        </w:rPr>
      </w:pPr>
    </w:p>
    <w:p w14:paraId="77CD3566" w14:textId="77777777" w:rsidR="00195DA3" w:rsidRPr="008E3DEC" w:rsidRDefault="00195DA3" w:rsidP="00F95AA8">
      <w:pPr>
        <w:jc w:val="both"/>
        <w:rPr>
          <w:rFonts w:ascii="Verdana" w:hAnsi="Verdana" w:cstheme="minorHAnsi"/>
          <w:b/>
          <w:color w:val="000000"/>
          <w:sz w:val="20"/>
          <w:szCs w:val="20"/>
          <w:u w:val="single"/>
        </w:rPr>
      </w:pPr>
      <w:r w:rsidRPr="008E3DEC">
        <w:rPr>
          <w:rFonts w:ascii="Verdana" w:hAnsi="Verdana" w:cstheme="minorHAnsi"/>
          <w:b/>
          <w:color w:val="000000"/>
          <w:sz w:val="20"/>
          <w:szCs w:val="20"/>
          <w:u w:val="single"/>
        </w:rPr>
        <w:t>Themes</w:t>
      </w:r>
    </w:p>
    <w:p w14:paraId="1666DB19" w14:textId="0EF04337" w:rsidR="008D73F3" w:rsidRPr="00186349" w:rsidRDefault="008D73F3" w:rsidP="00F95AA8">
      <w:pPr>
        <w:jc w:val="both"/>
        <w:rPr>
          <w:rFonts w:ascii="Verdana" w:hAnsi="Verdana"/>
          <w:b/>
          <w:bCs/>
          <w:sz w:val="20"/>
          <w:szCs w:val="20"/>
          <w:u w:val="single"/>
        </w:rPr>
      </w:pPr>
      <w:r w:rsidRPr="00186349">
        <w:rPr>
          <w:rFonts w:ascii="Verdana" w:hAnsi="Verdana"/>
          <w:b/>
          <w:bCs/>
          <w:sz w:val="20"/>
          <w:szCs w:val="20"/>
          <w:u w:val="single"/>
        </w:rPr>
        <w:t xml:space="preserve">Creative Economy and Cultural Heritage </w:t>
      </w:r>
    </w:p>
    <w:p w14:paraId="3DE78F95" w14:textId="77777777" w:rsidR="00D34197" w:rsidRPr="008E3DEC" w:rsidRDefault="00D34197" w:rsidP="00F95AA8">
      <w:pPr>
        <w:jc w:val="both"/>
        <w:rPr>
          <w:rFonts w:ascii="Verdana" w:hAnsi="Verdana"/>
          <w:sz w:val="20"/>
          <w:szCs w:val="20"/>
        </w:rPr>
      </w:pPr>
      <w:r w:rsidRPr="008E3DEC">
        <w:rPr>
          <w:rFonts w:ascii="Verdana" w:hAnsi="Verdana"/>
          <w:sz w:val="20"/>
          <w:szCs w:val="20"/>
        </w:rPr>
        <w:t>The presence of creative and cultural economies is both a key indicator and a strong driver of sustainable development. The creative and cultural industries are valued not only for their inherent economic value, but also increasingly for the role they play in the development of new ideas and technologies and the associated non-monetised social benefits. Culture enables and empowers society to take control of its own development agendas, be it health, education, employment, equality or youth engagement and situate it within unique regional contexts that respect the local values, conditions and resources that may support, or stand in the way of, positive change.  </w:t>
      </w:r>
    </w:p>
    <w:p w14:paraId="777C2131" w14:textId="2C245F62" w:rsidR="00D34197" w:rsidRPr="008E3DEC" w:rsidRDefault="00D34197" w:rsidP="00F95AA8">
      <w:pPr>
        <w:jc w:val="both"/>
        <w:rPr>
          <w:rFonts w:ascii="Verdana" w:hAnsi="Verdana"/>
          <w:sz w:val="20"/>
          <w:szCs w:val="20"/>
        </w:rPr>
      </w:pPr>
      <w:r w:rsidRPr="008E3DEC">
        <w:rPr>
          <w:rFonts w:ascii="Verdana" w:hAnsi="Verdana"/>
          <w:sz w:val="20"/>
          <w:szCs w:val="20"/>
        </w:rPr>
        <w:t xml:space="preserve">In the countries of </w:t>
      </w:r>
      <w:r w:rsidR="009311E2">
        <w:rPr>
          <w:rFonts w:ascii="Verdana" w:hAnsi="Verdana"/>
          <w:sz w:val="20"/>
          <w:szCs w:val="20"/>
        </w:rPr>
        <w:t>Southeast</w:t>
      </w:r>
      <w:r w:rsidRPr="008E3DEC">
        <w:rPr>
          <w:rFonts w:ascii="Verdana" w:hAnsi="Verdana"/>
          <w:sz w:val="20"/>
          <w:szCs w:val="20"/>
        </w:rPr>
        <w:t xml:space="preserve"> Asia, a considerable quantity of manufactured goods are produced, however the focus on production has not led to the generation of the  kind of added-value found in most knowledge-based economies. This ‘added value’ is found via the integration of culture, design, technology and innovation, a blend of elements that </w:t>
      </w:r>
      <w:r w:rsidRPr="008E3DEC">
        <w:rPr>
          <w:rFonts w:ascii="Verdana" w:hAnsi="Verdana"/>
          <w:sz w:val="20"/>
          <w:szCs w:val="20"/>
        </w:rPr>
        <w:lastRenderedPageBreak/>
        <w:t>should lead to the production of unique products and services that will encourage sustainable economic growth, poverty reduction and social transformation.   </w:t>
      </w:r>
    </w:p>
    <w:p w14:paraId="70123B60" w14:textId="6C5191CD" w:rsidR="00D34197" w:rsidRPr="008E3DEC" w:rsidRDefault="00D34197" w:rsidP="00F95AA8">
      <w:pPr>
        <w:spacing w:after="0"/>
        <w:jc w:val="both"/>
        <w:rPr>
          <w:rFonts w:ascii="Verdana" w:hAnsi="Verdana"/>
          <w:sz w:val="20"/>
          <w:szCs w:val="20"/>
        </w:rPr>
      </w:pPr>
      <w:r w:rsidRPr="008E3DEC">
        <w:rPr>
          <w:rFonts w:ascii="Verdana" w:hAnsi="Verdana"/>
          <w:sz w:val="20"/>
          <w:szCs w:val="20"/>
        </w:rPr>
        <w:t xml:space="preserve">Many of the countries of </w:t>
      </w:r>
      <w:r w:rsidR="009311E2">
        <w:rPr>
          <w:rFonts w:ascii="Verdana" w:hAnsi="Verdana"/>
          <w:sz w:val="20"/>
          <w:szCs w:val="20"/>
        </w:rPr>
        <w:t>Southeast</w:t>
      </w:r>
      <w:r w:rsidRPr="008E3DEC">
        <w:rPr>
          <w:rFonts w:ascii="Verdana" w:hAnsi="Verdana"/>
          <w:sz w:val="20"/>
          <w:szCs w:val="20"/>
        </w:rPr>
        <w:t xml:space="preserve"> Asia have distinct and vibrant cultural scenes and emerging areas of growth. Following the success of the ‘Korean Wave’, other countries have attempted to follow the blueprint and reduce their reliance on imported media and entertainment. Both the Philippines and Thailand have growing Film Industries which has created opportunities for local creative writers, artists, producers and designers.  The fashion industry is another area developing rapidly in SE Asia, in part due to the relatively youthful population (50% is under 30) and provides young people with a creative outlet as designers that can also be used to generate a living. Young entrepreneurs have also been behind the establishment of web and app design and digital media companies, which rely on a high level of creativity, technical proficiency, design skills and marketing savvy and provide services that have not previously existed, or traditionally been provided by foreign companies. Outside of urban populations, there is a rich vein of interest in traditional craft practices, and other aspects of cultural heritage, such as music and food, have engendered a sense of pride and generated significant interest and revenue via tourism. </w:t>
      </w:r>
    </w:p>
    <w:p w14:paraId="067CC558" w14:textId="77777777" w:rsidR="00D34197" w:rsidRPr="008E3DEC" w:rsidRDefault="00D34197" w:rsidP="00F95AA8">
      <w:pPr>
        <w:spacing w:after="0"/>
        <w:jc w:val="both"/>
        <w:rPr>
          <w:rFonts w:ascii="Verdana" w:hAnsi="Verdana"/>
          <w:sz w:val="20"/>
          <w:szCs w:val="20"/>
        </w:rPr>
      </w:pPr>
    </w:p>
    <w:p w14:paraId="2C145971" w14:textId="0ACD8E89" w:rsidR="008E3DEC" w:rsidRDefault="00D34197" w:rsidP="00F95AA8">
      <w:pPr>
        <w:spacing w:after="0"/>
        <w:jc w:val="both"/>
      </w:pPr>
      <w:r w:rsidRPr="008E3DEC">
        <w:rPr>
          <w:rFonts w:ascii="Verdana" w:hAnsi="Verdana"/>
          <w:sz w:val="20"/>
          <w:szCs w:val="20"/>
        </w:rPr>
        <w:t xml:space="preserve">The UK has substantial research expertise in the creative industries and the commercialisation and preservation of cultural </w:t>
      </w:r>
      <w:r w:rsidR="00DA4539" w:rsidRPr="008E3DEC">
        <w:rPr>
          <w:rFonts w:ascii="Verdana" w:hAnsi="Verdana"/>
          <w:sz w:val="20"/>
          <w:szCs w:val="20"/>
        </w:rPr>
        <w:t>heritage</w:t>
      </w:r>
      <w:r w:rsidRPr="008E3DEC">
        <w:rPr>
          <w:rFonts w:ascii="Verdana" w:hAnsi="Verdana"/>
          <w:sz w:val="20"/>
          <w:szCs w:val="20"/>
        </w:rPr>
        <w:t xml:space="preserve"> so would be very well positioned to partner on exploratory research programmes and knowledge transfer into the developmental potential of these sectors in SE Asia.  </w:t>
      </w:r>
      <w:r w:rsidR="00061F22">
        <w:rPr>
          <w:rFonts w:ascii="Verdana" w:hAnsi="Verdana"/>
          <w:sz w:val="20"/>
          <w:szCs w:val="20"/>
        </w:rPr>
        <w:br/>
      </w:r>
    </w:p>
    <w:p w14:paraId="51E5BF3F" w14:textId="0F95F8AD" w:rsidR="008D73F3" w:rsidRDefault="008D73F3" w:rsidP="00F95AA8">
      <w:pPr>
        <w:pStyle w:val="Heading3"/>
        <w:jc w:val="both"/>
        <w:rPr>
          <w:rFonts w:ascii="Verdana" w:hAnsi="Verdana" w:cstheme="minorHAnsi"/>
          <w:sz w:val="20"/>
          <w:u w:val="single"/>
        </w:rPr>
      </w:pPr>
      <w:r w:rsidRPr="00186349">
        <w:rPr>
          <w:rFonts w:ascii="Verdana" w:hAnsi="Verdana" w:cstheme="minorHAnsi"/>
          <w:sz w:val="20"/>
          <w:u w:val="single"/>
        </w:rPr>
        <w:t>Energy</w:t>
      </w:r>
      <w:r w:rsidR="008E3DEC" w:rsidRPr="00186349">
        <w:rPr>
          <w:rFonts w:ascii="Verdana" w:hAnsi="Verdana" w:cstheme="minorHAnsi"/>
          <w:sz w:val="20"/>
          <w:u w:val="single"/>
        </w:rPr>
        <w:t xml:space="preserve"> </w:t>
      </w:r>
      <w:r w:rsidRPr="00186349">
        <w:rPr>
          <w:rFonts w:ascii="Verdana" w:hAnsi="Verdana" w:cstheme="minorHAnsi"/>
          <w:sz w:val="20"/>
          <w:u w:val="single"/>
        </w:rPr>
        <w:t>-</w:t>
      </w:r>
      <w:r w:rsidRPr="00186349" w:rsidDel="005C10EA">
        <w:rPr>
          <w:rFonts w:ascii="Verdana" w:hAnsi="Verdana" w:cstheme="minorHAnsi"/>
          <w:sz w:val="20"/>
          <w:u w:val="single"/>
        </w:rPr>
        <w:t xml:space="preserve"> </w:t>
      </w:r>
      <w:r w:rsidRPr="00186349">
        <w:rPr>
          <w:rFonts w:ascii="Verdana" w:hAnsi="Verdana" w:cstheme="minorHAnsi"/>
          <w:sz w:val="20"/>
          <w:u w:val="single"/>
        </w:rPr>
        <w:t xml:space="preserve">Food </w:t>
      </w:r>
      <w:r w:rsidR="00B80438">
        <w:rPr>
          <w:rFonts w:ascii="Verdana" w:hAnsi="Verdana" w:cstheme="minorHAnsi"/>
          <w:sz w:val="20"/>
          <w:u w:val="single"/>
        </w:rPr>
        <w:t>–</w:t>
      </w:r>
      <w:r w:rsidRPr="00186349">
        <w:rPr>
          <w:rFonts w:ascii="Verdana" w:hAnsi="Verdana" w:cstheme="minorHAnsi"/>
          <w:sz w:val="20"/>
          <w:u w:val="single"/>
        </w:rPr>
        <w:t xml:space="preserve"> Water</w:t>
      </w:r>
      <w:r w:rsidR="001130F4">
        <w:rPr>
          <w:rFonts w:ascii="Verdana" w:hAnsi="Verdana" w:cstheme="minorHAnsi"/>
          <w:sz w:val="20"/>
          <w:u w:val="single"/>
        </w:rPr>
        <w:t xml:space="preserve"> </w:t>
      </w:r>
      <w:r w:rsidR="00B80438">
        <w:rPr>
          <w:rFonts w:ascii="Verdana" w:hAnsi="Verdana" w:cstheme="minorHAnsi"/>
          <w:sz w:val="20"/>
          <w:u w:val="single"/>
        </w:rPr>
        <w:t>-</w:t>
      </w:r>
      <w:r w:rsidR="001130F4">
        <w:rPr>
          <w:rFonts w:ascii="Verdana" w:hAnsi="Verdana" w:cstheme="minorHAnsi"/>
          <w:sz w:val="20"/>
          <w:u w:val="single"/>
        </w:rPr>
        <w:t xml:space="preserve"> </w:t>
      </w:r>
      <w:r w:rsidR="00B80438">
        <w:rPr>
          <w:rFonts w:ascii="Verdana" w:hAnsi="Verdana" w:cstheme="minorHAnsi"/>
          <w:sz w:val="20"/>
          <w:u w:val="single"/>
        </w:rPr>
        <w:t>Environment</w:t>
      </w:r>
      <w:r w:rsidRPr="00186349">
        <w:rPr>
          <w:rFonts w:ascii="Verdana" w:hAnsi="Verdana" w:cstheme="minorHAnsi"/>
          <w:sz w:val="20"/>
          <w:u w:val="single"/>
        </w:rPr>
        <w:t xml:space="preserve"> Nexus</w:t>
      </w:r>
    </w:p>
    <w:p w14:paraId="498F126B" w14:textId="77777777" w:rsidR="0037290E" w:rsidRPr="00282EDB" w:rsidRDefault="0037290E" w:rsidP="00F95AA8">
      <w:pPr>
        <w:pStyle w:val="NoSpacing"/>
        <w:jc w:val="both"/>
        <w:rPr>
          <w:bCs/>
        </w:rPr>
      </w:pPr>
    </w:p>
    <w:p w14:paraId="5C3BB701" w14:textId="77777777" w:rsidR="00B80438" w:rsidRPr="00282EDB" w:rsidRDefault="00B80438" w:rsidP="00F95AA8">
      <w:pPr>
        <w:spacing w:after="0" w:line="240" w:lineRule="auto"/>
        <w:jc w:val="both"/>
        <w:rPr>
          <w:rFonts w:ascii="Verdana" w:hAnsi="Verdana" w:cs="Calibri"/>
          <w:bCs/>
          <w:sz w:val="20"/>
          <w:szCs w:val="20"/>
        </w:rPr>
      </w:pPr>
      <w:r w:rsidRPr="00282EDB">
        <w:rPr>
          <w:rFonts w:ascii="Verdana" w:hAnsi="Verdana" w:cs="Calibri"/>
          <w:bCs/>
          <w:sz w:val="20"/>
          <w:szCs w:val="20"/>
        </w:rPr>
        <w:t xml:space="preserve">The ‘nexus’ is a way of thinking about the interdependencies, tensions and trade-offs between essential ecosystem services such as food, water and energy, in the wider context of land use, environmental change, health and wellbeing, and global supply chains. These different systems are inextricably linked, and improvements in one sector can have adverse impacts in another. </w:t>
      </w:r>
    </w:p>
    <w:p w14:paraId="79E88E28" w14:textId="77777777" w:rsidR="00B80438" w:rsidRPr="00282EDB" w:rsidRDefault="00B80438" w:rsidP="00F95AA8">
      <w:pPr>
        <w:spacing w:after="0" w:line="240" w:lineRule="auto"/>
        <w:jc w:val="both"/>
        <w:rPr>
          <w:rFonts w:ascii="Verdana" w:hAnsi="Verdana" w:cs="Calibri"/>
          <w:bCs/>
          <w:sz w:val="20"/>
          <w:szCs w:val="20"/>
        </w:rPr>
      </w:pPr>
    </w:p>
    <w:p w14:paraId="69A28AD7" w14:textId="77777777" w:rsidR="00B80438" w:rsidRDefault="00B80438" w:rsidP="00F95AA8">
      <w:pPr>
        <w:spacing w:after="0" w:line="240" w:lineRule="auto"/>
        <w:jc w:val="both"/>
        <w:rPr>
          <w:rFonts w:ascii="Verdana" w:hAnsi="Verdana" w:cs="Calibri"/>
          <w:bCs/>
          <w:sz w:val="20"/>
          <w:szCs w:val="20"/>
        </w:rPr>
      </w:pPr>
      <w:r w:rsidRPr="00282EDB">
        <w:rPr>
          <w:rFonts w:ascii="Verdana" w:hAnsi="Verdana" w:cs="Calibri"/>
          <w:bCs/>
          <w:sz w:val="20"/>
          <w:szCs w:val="20"/>
        </w:rPr>
        <w:t xml:space="preserve">The nexus requires a deep understanding of multi-functional landscapes and ways to manage the environment sustainably for multiple ecosystem services. It is underpinned by a number of cross-cutting areas, for example: </w:t>
      </w:r>
    </w:p>
    <w:p w14:paraId="26990124" w14:textId="77777777" w:rsidR="00AA4524" w:rsidRPr="00282EDB" w:rsidRDefault="00AA4524" w:rsidP="00F95AA8">
      <w:pPr>
        <w:spacing w:after="0" w:line="240" w:lineRule="auto"/>
        <w:jc w:val="both"/>
        <w:rPr>
          <w:rFonts w:ascii="Verdana" w:hAnsi="Verdana" w:cs="Calibri"/>
          <w:bCs/>
          <w:sz w:val="20"/>
          <w:szCs w:val="20"/>
        </w:rPr>
      </w:pPr>
    </w:p>
    <w:p w14:paraId="1BB5531E" w14:textId="77777777" w:rsidR="00B80438" w:rsidRPr="00282EDB" w:rsidRDefault="00B80438" w:rsidP="00F95AA8">
      <w:pPr>
        <w:numPr>
          <w:ilvl w:val="0"/>
          <w:numId w:val="36"/>
        </w:numPr>
        <w:spacing w:after="0" w:line="240" w:lineRule="auto"/>
        <w:jc w:val="both"/>
        <w:rPr>
          <w:rFonts w:ascii="Verdana" w:hAnsi="Verdana" w:cs="Calibri"/>
          <w:bCs/>
          <w:sz w:val="20"/>
          <w:szCs w:val="20"/>
        </w:rPr>
      </w:pPr>
      <w:r w:rsidRPr="00282EDB">
        <w:rPr>
          <w:rFonts w:ascii="Verdana" w:hAnsi="Verdana" w:cs="Calibri"/>
          <w:bCs/>
          <w:sz w:val="20"/>
          <w:szCs w:val="20"/>
        </w:rPr>
        <w:t xml:space="preserve">valuing nature and natural capital (including stocks and tipping points); </w:t>
      </w:r>
    </w:p>
    <w:p w14:paraId="164266CA" w14:textId="77777777" w:rsidR="00B80438" w:rsidRPr="00282EDB" w:rsidRDefault="00B80438" w:rsidP="00F95AA8">
      <w:pPr>
        <w:numPr>
          <w:ilvl w:val="0"/>
          <w:numId w:val="36"/>
        </w:numPr>
        <w:spacing w:after="0" w:line="240" w:lineRule="auto"/>
        <w:jc w:val="both"/>
        <w:rPr>
          <w:rFonts w:ascii="Verdana" w:hAnsi="Verdana" w:cs="Calibri"/>
          <w:bCs/>
          <w:sz w:val="20"/>
          <w:szCs w:val="20"/>
        </w:rPr>
      </w:pPr>
      <w:r w:rsidRPr="00282EDB">
        <w:rPr>
          <w:rFonts w:ascii="Verdana" w:hAnsi="Verdana" w:cs="Calibri"/>
          <w:bCs/>
          <w:sz w:val="20"/>
          <w:szCs w:val="20"/>
        </w:rPr>
        <w:t xml:space="preserve">sustainable prosperity and the green economy; </w:t>
      </w:r>
    </w:p>
    <w:p w14:paraId="0C6E1267" w14:textId="77777777" w:rsidR="00B80438" w:rsidRPr="00282EDB" w:rsidRDefault="00B80438" w:rsidP="00F95AA8">
      <w:pPr>
        <w:numPr>
          <w:ilvl w:val="0"/>
          <w:numId w:val="36"/>
        </w:numPr>
        <w:spacing w:after="0" w:line="240" w:lineRule="auto"/>
        <w:jc w:val="both"/>
        <w:rPr>
          <w:rFonts w:ascii="Verdana" w:hAnsi="Verdana" w:cs="Calibri"/>
          <w:bCs/>
          <w:sz w:val="20"/>
          <w:szCs w:val="20"/>
        </w:rPr>
      </w:pPr>
      <w:r w:rsidRPr="00282EDB">
        <w:rPr>
          <w:rFonts w:ascii="Verdana" w:hAnsi="Verdana" w:cs="Calibri"/>
          <w:bCs/>
          <w:sz w:val="20"/>
          <w:szCs w:val="20"/>
        </w:rPr>
        <w:t xml:space="preserve">sustainable behaviour across supply chains; </w:t>
      </w:r>
    </w:p>
    <w:p w14:paraId="75C4A3AD" w14:textId="77777777" w:rsidR="00B80438" w:rsidRPr="00282EDB" w:rsidRDefault="00B80438" w:rsidP="00F95AA8">
      <w:pPr>
        <w:numPr>
          <w:ilvl w:val="0"/>
          <w:numId w:val="36"/>
        </w:numPr>
        <w:spacing w:after="0" w:line="240" w:lineRule="auto"/>
        <w:jc w:val="both"/>
        <w:rPr>
          <w:rFonts w:ascii="Verdana" w:hAnsi="Verdana" w:cs="Calibri"/>
          <w:bCs/>
          <w:sz w:val="20"/>
          <w:szCs w:val="20"/>
        </w:rPr>
      </w:pPr>
      <w:r w:rsidRPr="00282EDB">
        <w:rPr>
          <w:rFonts w:ascii="Verdana" w:hAnsi="Verdana" w:cs="Calibri"/>
          <w:bCs/>
          <w:sz w:val="20"/>
          <w:szCs w:val="20"/>
        </w:rPr>
        <w:t xml:space="preserve">human health and nutrition; </w:t>
      </w:r>
    </w:p>
    <w:p w14:paraId="13C80EC6" w14:textId="77777777" w:rsidR="00B80438" w:rsidRPr="00282EDB" w:rsidRDefault="00B80438" w:rsidP="00F95AA8">
      <w:pPr>
        <w:numPr>
          <w:ilvl w:val="0"/>
          <w:numId w:val="36"/>
        </w:numPr>
        <w:spacing w:after="0" w:line="240" w:lineRule="auto"/>
        <w:jc w:val="both"/>
        <w:rPr>
          <w:rFonts w:ascii="Verdana" w:hAnsi="Verdana" w:cs="Calibri"/>
          <w:bCs/>
          <w:sz w:val="20"/>
          <w:szCs w:val="20"/>
        </w:rPr>
      </w:pPr>
      <w:r w:rsidRPr="00282EDB">
        <w:rPr>
          <w:rFonts w:ascii="Verdana" w:hAnsi="Verdana" w:cs="Calibri"/>
          <w:bCs/>
          <w:sz w:val="20"/>
          <w:szCs w:val="20"/>
        </w:rPr>
        <w:t xml:space="preserve">farmed animal production including health and nutrition </w:t>
      </w:r>
    </w:p>
    <w:p w14:paraId="7CEB7D32" w14:textId="77777777" w:rsidR="00B80438" w:rsidRPr="00282EDB" w:rsidRDefault="00B80438" w:rsidP="00F95AA8">
      <w:pPr>
        <w:numPr>
          <w:ilvl w:val="0"/>
          <w:numId w:val="36"/>
        </w:numPr>
        <w:spacing w:after="0" w:line="240" w:lineRule="auto"/>
        <w:jc w:val="both"/>
        <w:rPr>
          <w:rFonts w:ascii="Verdana" w:hAnsi="Verdana" w:cs="Calibri"/>
          <w:bCs/>
          <w:sz w:val="20"/>
          <w:szCs w:val="20"/>
        </w:rPr>
      </w:pPr>
      <w:r w:rsidRPr="00282EDB">
        <w:rPr>
          <w:rFonts w:ascii="Verdana" w:hAnsi="Verdana" w:cs="Calibri"/>
          <w:bCs/>
          <w:sz w:val="20"/>
          <w:szCs w:val="20"/>
        </w:rPr>
        <w:t>resource efficiency, including resource use efficiency</w:t>
      </w:r>
    </w:p>
    <w:p w14:paraId="712EDB00" w14:textId="77777777" w:rsidR="00B80438" w:rsidRPr="00282EDB" w:rsidRDefault="00B80438" w:rsidP="00F95AA8">
      <w:pPr>
        <w:numPr>
          <w:ilvl w:val="0"/>
          <w:numId w:val="36"/>
        </w:numPr>
        <w:spacing w:after="0" w:line="240" w:lineRule="auto"/>
        <w:jc w:val="both"/>
        <w:rPr>
          <w:rFonts w:ascii="Verdana" w:hAnsi="Verdana" w:cs="Calibri"/>
          <w:bCs/>
          <w:sz w:val="20"/>
          <w:szCs w:val="20"/>
        </w:rPr>
      </w:pPr>
      <w:r w:rsidRPr="00282EDB">
        <w:rPr>
          <w:rFonts w:ascii="Verdana" w:hAnsi="Verdana" w:cs="Calibri"/>
          <w:bCs/>
          <w:sz w:val="20"/>
          <w:szCs w:val="20"/>
        </w:rPr>
        <w:t xml:space="preserve">sustainable intensification; </w:t>
      </w:r>
    </w:p>
    <w:p w14:paraId="2D948829" w14:textId="77777777" w:rsidR="00B80438" w:rsidRPr="00282EDB" w:rsidRDefault="00B80438" w:rsidP="00F95AA8">
      <w:pPr>
        <w:numPr>
          <w:ilvl w:val="0"/>
          <w:numId w:val="36"/>
        </w:numPr>
        <w:spacing w:after="0" w:line="240" w:lineRule="auto"/>
        <w:jc w:val="both"/>
        <w:rPr>
          <w:rFonts w:ascii="Verdana" w:hAnsi="Verdana" w:cs="Calibri"/>
          <w:bCs/>
          <w:sz w:val="20"/>
          <w:szCs w:val="20"/>
        </w:rPr>
      </w:pPr>
      <w:r w:rsidRPr="00282EDB">
        <w:rPr>
          <w:rFonts w:ascii="Verdana" w:hAnsi="Verdana" w:cs="Calibri"/>
          <w:bCs/>
          <w:sz w:val="20"/>
          <w:szCs w:val="20"/>
        </w:rPr>
        <w:t xml:space="preserve">forecasting extreme weather; and </w:t>
      </w:r>
    </w:p>
    <w:p w14:paraId="36385BCC" w14:textId="77777777" w:rsidR="00B80438" w:rsidRPr="00282EDB" w:rsidRDefault="00B80438" w:rsidP="00F95AA8">
      <w:pPr>
        <w:numPr>
          <w:ilvl w:val="0"/>
          <w:numId w:val="36"/>
        </w:numPr>
        <w:spacing w:after="0" w:line="240" w:lineRule="auto"/>
        <w:jc w:val="both"/>
        <w:rPr>
          <w:rFonts w:ascii="Verdana" w:hAnsi="Verdana" w:cs="Calibri"/>
          <w:bCs/>
          <w:sz w:val="20"/>
          <w:szCs w:val="20"/>
        </w:rPr>
      </w:pPr>
      <w:r w:rsidRPr="00282EDB">
        <w:rPr>
          <w:rFonts w:ascii="Verdana" w:hAnsi="Verdana" w:cs="Calibri"/>
          <w:bCs/>
          <w:sz w:val="20"/>
          <w:szCs w:val="20"/>
        </w:rPr>
        <w:t xml:space="preserve">resilient agriculture and food systems. </w:t>
      </w:r>
    </w:p>
    <w:p w14:paraId="2B265EDA" w14:textId="77777777" w:rsidR="00B80438" w:rsidRPr="00282EDB" w:rsidRDefault="00B80438" w:rsidP="00F95AA8">
      <w:pPr>
        <w:spacing w:after="0" w:line="240" w:lineRule="auto"/>
        <w:jc w:val="both"/>
        <w:rPr>
          <w:rFonts w:ascii="Verdana" w:hAnsi="Verdana" w:cs="Calibri"/>
          <w:bCs/>
          <w:sz w:val="20"/>
          <w:szCs w:val="20"/>
        </w:rPr>
      </w:pPr>
    </w:p>
    <w:p w14:paraId="7A119E71" w14:textId="77777777" w:rsidR="00B80438" w:rsidRPr="00282EDB" w:rsidRDefault="00B80438" w:rsidP="00F95AA8">
      <w:pPr>
        <w:spacing w:after="0" w:line="240" w:lineRule="auto"/>
        <w:jc w:val="both"/>
        <w:rPr>
          <w:rFonts w:ascii="Verdana" w:hAnsi="Verdana" w:cs="Calibri"/>
          <w:bCs/>
          <w:sz w:val="20"/>
          <w:szCs w:val="20"/>
        </w:rPr>
      </w:pPr>
      <w:r w:rsidRPr="00282EDB">
        <w:rPr>
          <w:rFonts w:ascii="Verdana" w:hAnsi="Verdana" w:cs="Calibri"/>
          <w:bCs/>
          <w:sz w:val="20"/>
          <w:szCs w:val="20"/>
        </w:rPr>
        <w:t>For example, how can agriculture deliver a better food system: using less land, water and energy; reducing losses and wastes; addressing key nutritional needs; maintaining acceptable levels of safety; and maintaining other ecosystem services and the natural capital on which it and they depend? The nexus requires interconnected thinking across the natural and social sciences, and between researchers, policy, business and civil society. *</w:t>
      </w:r>
    </w:p>
    <w:p w14:paraId="10F85FAC" w14:textId="77777777" w:rsidR="00B80438" w:rsidRPr="00282EDB" w:rsidRDefault="00B80438" w:rsidP="00F95AA8">
      <w:pPr>
        <w:spacing w:after="0" w:line="240" w:lineRule="auto"/>
        <w:jc w:val="both"/>
        <w:rPr>
          <w:rFonts w:ascii="Verdana" w:hAnsi="Verdana" w:cs="Calibri"/>
          <w:bCs/>
          <w:sz w:val="20"/>
          <w:szCs w:val="20"/>
        </w:rPr>
      </w:pPr>
    </w:p>
    <w:p w14:paraId="237AFE50" w14:textId="60E71740" w:rsidR="00B80438" w:rsidRPr="00282EDB" w:rsidRDefault="00B80438" w:rsidP="00F95AA8">
      <w:pPr>
        <w:spacing w:after="0" w:line="240" w:lineRule="auto"/>
        <w:jc w:val="both"/>
        <w:rPr>
          <w:rFonts w:ascii="Verdana" w:hAnsi="Verdana" w:cs="Calibri"/>
          <w:bCs/>
          <w:sz w:val="20"/>
          <w:szCs w:val="20"/>
        </w:rPr>
      </w:pPr>
      <w:r w:rsidRPr="00282EDB">
        <w:rPr>
          <w:rFonts w:ascii="Verdana" w:hAnsi="Verdana" w:cs="Calibri"/>
          <w:bCs/>
          <w:sz w:val="20"/>
          <w:szCs w:val="20"/>
        </w:rPr>
        <w:t>Areas of interest include:</w:t>
      </w:r>
    </w:p>
    <w:p w14:paraId="407AF8B6" w14:textId="77777777" w:rsidR="00B80438" w:rsidRPr="00282EDB" w:rsidRDefault="00B80438" w:rsidP="00F95AA8">
      <w:pPr>
        <w:numPr>
          <w:ilvl w:val="0"/>
          <w:numId w:val="34"/>
        </w:numPr>
        <w:spacing w:after="0" w:line="240" w:lineRule="auto"/>
        <w:jc w:val="both"/>
        <w:rPr>
          <w:rFonts w:ascii="Verdana" w:hAnsi="Verdana" w:cs="Calibri"/>
          <w:bCs/>
          <w:sz w:val="20"/>
          <w:szCs w:val="20"/>
        </w:rPr>
      </w:pPr>
      <w:r w:rsidRPr="00282EDB">
        <w:rPr>
          <w:rFonts w:ascii="Verdana" w:hAnsi="Verdana" w:cs="Calibri"/>
          <w:bCs/>
          <w:sz w:val="20"/>
          <w:szCs w:val="20"/>
        </w:rPr>
        <w:t>Re-envisaging growth for a sustainable future with a particular social science focus on:</w:t>
      </w:r>
    </w:p>
    <w:p w14:paraId="48A43A0E" w14:textId="77777777" w:rsidR="00B80438" w:rsidRPr="00282EDB" w:rsidRDefault="00B80438" w:rsidP="00F95AA8">
      <w:pPr>
        <w:numPr>
          <w:ilvl w:val="1"/>
          <w:numId w:val="34"/>
        </w:numPr>
        <w:spacing w:after="0" w:line="240" w:lineRule="auto"/>
        <w:jc w:val="both"/>
        <w:rPr>
          <w:rFonts w:ascii="Verdana" w:hAnsi="Verdana" w:cs="Calibri"/>
          <w:bCs/>
          <w:sz w:val="20"/>
          <w:szCs w:val="20"/>
        </w:rPr>
      </w:pPr>
      <w:r w:rsidRPr="00282EDB">
        <w:rPr>
          <w:rFonts w:ascii="Verdana" w:hAnsi="Verdana" w:cs="Calibri"/>
          <w:bCs/>
          <w:sz w:val="20"/>
          <w:szCs w:val="20"/>
        </w:rPr>
        <w:t>Consumption - responding to the issues of climate change in the region particularly how behaviours are shaped and mediated differently by various influences such as values and belief systems and how they operate at different locales and scales.</w:t>
      </w:r>
    </w:p>
    <w:p w14:paraId="5F54000E" w14:textId="77777777" w:rsidR="00B80438" w:rsidRPr="00282EDB" w:rsidRDefault="00B80438" w:rsidP="00F95AA8">
      <w:pPr>
        <w:numPr>
          <w:ilvl w:val="1"/>
          <w:numId w:val="34"/>
        </w:numPr>
        <w:spacing w:after="0" w:line="240" w:lineRule="auto"/>
        <w:jc w:val="both"/>
        <w:rPr>
          <w:rFonts w:ascii="Verdana" w:hAnsi="Verdana" w:cs="Calibri"/>
          <w:bCs/>
          <w:sz w:val="20"/>
          <w:szCs w:val="20"/>
        </w:rPr>
      </w:pPr>
      <w:r w:rsidRPr="00282EDB">
        <w:rPr>
          <w:rFonts w:ascii="Verdana" w:hAnsi="Verdana" w:cs="Calibri"/>
          <w:bCs/>
          <w:sz w:val="20"/>
          <w:szCs w:val="20"/>
        </w:rPr>
        <w:t>Governance of sustainable resource use -understanding what the issues are in the region around the governance of sustainable resource use such as learning how local, national and international organisations interact and drive societal responses to the nexus issues particularly from a comparative view point across political systems and traditions</w:t>
      </w:r>
    </w:p>
    <w:p w14:paraId="3492F22D" w14:textId="77777777" w:rsidR="00B80438" w:rsidRPr="00282EDB" w:rsidRDefault="00B80438" w:rsidP="00F95AA8">
      <w:pPr>
        <w:spacing w:after="0" w:line="240" w:lineRule="auto"/>
        <w:jc w:val="both"/>
        <w:rPr>
          <w:rFonts w:ascii="Verdana" w:hAnsi="Verdana" w:cs="Calibri"/>
          <w:bCs/>
          <w:sz w:val="20"/>
          <w:szCs w:val="20"/>
        </w:rPr>
      </w:pPr>
    </w:p>
    <w:p w14:paraId="04618111" w14:textId="77777777" w:rsidR="00B80438" w:rsidRDefault="00B80438" w:rsidP="00F95AA8">
      <w:pPr>
        <w:numPr>
          <w:ilvl w:val="0"/>
          <w:numId w:val="34"/>
        </w:numPr>
        <w:spacing w:after="0" w:line="240" w:lineRule="auto"/>
        <w:jc w:val="both"/>
        <w:rPr>
          <w:rFonts w:ascii="Verdana" w:hAnsi="Verdana" w:cs="Calibri"/>
          <w:bCs/>
          <w:sz w:val="20"/>
          <w:szCs w:val="20"/>
        </w:rPr>
      </w:pPr>
      <w:r w:rsidRPr="00282EDB">
        <w:rPr>
          <w:rFonts w:ascii="Verdana" w:hAnsi="Verdana" w:cs="Calibri"/>
          <w:bCs/>
          <w:sz w:val="20"/>
          <w:szCs w:val="20"/>
        </w:rPr>
        <w:t>Developing more sustainable, resilient and efficient food and non-food production systems while mitigating impacts on the environment and taking into account the need for multi-functional landscapes:</w:t>
      </w:r>
    </w:p>
    <w:p w14:paraId="25D74E33" w14:textId="77777777" w:rsidR="001E6E45" w:rsidRPr="00282EDB" w:rsidRDefault="001E6E45" w:rsidP="00F95AA8">
      <w:pPr>
        <w:spacing w:after="0" w:line="240" w:lineRule="auto"/>
        <w:ind w:left="765"/>
        <w:jc w:val="both"/>
        <w:rPr>
          <w:rFonts w:ascii="Verdana" w:hAnsi="Verdana" w:cs="Calibri"/>
          <w:bCs/>
          <w:sz w:val="20"/>
          <w:szCs w:val="20"/>
        </w:rPr>
      </w:pPr>
    </w:p>
    <w:p w14:paraId="2BA11F0D" w14:textId="77777777" w:rsidR="00B80438" w:rsidRPr="00282EDB" w:rsidRDefault="00B80438" w:rsidP="00F95AA8">
      <w:pPr>
        <w:numPr>
          <w:ilvl w:val="1"/>
          <w:numId w:val="34"/>
        </w:numPr>
        <w:spacing w:after="0" w:line="240" w:lineRule="auto"/>
        <w:jc w:val="both"/>
        <w:rPr>
          <w:rFonts w:ascii="Verdana" w:hAnsi="Verdana" w:cs="Calibri"/>
          <w:bCs/>
          <w:sz w:val="20"/>
          <w:szCs w:val="20"/>
        </w:rPr>
      </w:pPr>
      <w:r w:rsidRPr="00282EDB">
        <w:rPr>
          <w:rFonts w:ascii="Verdana" w:hAnsi="Verdana" w:cs="Calibri"/>
          <w:bCs/>
          <w:sz w:val="20"/>
          <w:szCs w:val="20"/>
        </w:rPr>
        <w:t xml:space="preserve">Taking an integrated approach across farming systems and the food supply chain in order to deliver sufficient, affordable, nutritious and safe food. This includes understanding the interactions between genotype, phenotype and the environment in order to enhance crop and livestock production, improve the nutritional profile of food, feed and additives/ingredients, and improving efficiencies in food supply chains through the reduction of food loses and wastes due to for example, a lack of control of crop biology or microbial contamination. </w:t>
      </w:r>
    </w:p>
    <w:p w14:paraId="5F310033" w14:textId="77777777" w:rsidR="00B80438" w:rsidRPr="00282EDB" w:rsidRDefault="00B80438" w:rsidP="00F95AA8">
      <w:pPr>
        <w:numPr>
          <w:ilvl w:val="1"/>
          <w:numId w:val="34"/>
        </w:numPr>
        <w:spacing w:after="0" w:line="240" w:lineRule="auto"/>
        <w:jc w:val="both"/>
        <w:rPr>
          <w:rFonts w:ascii="Verdana" w:hAnsi="Verdana" w:cs="Calibri"/>
          <w:bCs/>
          <w:sz w:val="20"/>
          <w:szCs w:val="20"/>
        </w:rPr>
      </w:pPr>
      <w:r w:rsidRPr="00282EDB">
        <w:rPr>
          <w:rFonts w:ascii="Verdana" w:hAnsi="Verdana" w:cs="Calibri"/>
          <w:bCs/>
          <w:sz w:val="20"/>
          <w:szCs w:val="20"/>
        </w:rPr>
        <w:t>Better integration of the biology of crops and farmed animals with their management and the agri-environment, in multidisciplinary studies of farming systems. Development of new tools, technologies and data analytics is required to accelerate the breeding of crops and livestock better adapted to the future world, and to drive precision approaches to agriculture with more informed and timely decision-making; and</w:t>
      </w:r>
    </w:p>
    <w:p w14:paraId="75E1937E" w14:textId="77777777" w:rsidR="00B80438" w:rsidRDefault="00B80438" w:rsidP="00F95AA8">
      <w:pPr>
        <w:numPr>
          <w:ilvl w:val="1"/>
          <w:numId w:val="34"/>
        </w:numPr>
        <w:spacing w:after="0" w:line="240" w:lineRule="auto"/>
        <w:jc w:val="both"/>
        <w:rPr>
          <w:rFonts w:ascii="Verdana" w:hAnsi="Verdana" w:cs="Calibri"/>
          <w:bCs/>
          <w:sz w:val="20"/>
          <w:szCs w:val="20"/>
        </w:rPr>
      </w:pPr>
      <w:r w:rsidRPr="00282EDB">
        <w:rPr>
          <w:rFonts w:ascii="Verdana" w:hAnsi="Verdana" w:cs="Calibri"/>
          <w:bCs/>
          <w:sz w:val="20"/>
          <w:szCs w:val="20"/>
        </w:rPr>
        <w:t>Alongside food production, there is also a huge opportunity for agriculture as a source of renewable industrial feedstocks for energy, chemicals, non-food products and materials in a new bio-based economy.</w:t>
      </w:r>
    </w:p>
    <w:p w14:paraId="4FDFC23C" w14:textId="77777777" w:rsidR="001E6E45" w:rsidRPr="00282EDB" w:rsidRDefault="001E6E45" w:rsidP="00F95AA8">
      <w:pPr>
        <w:spacing w:after="0" w:line="240" w:lineRule="auto"/>
        <w:ind w:left="1485"/>
        <w:jc w:val="both"/>
        <w:rPr>
          <w:rFonts w:ascii="Verdana" w:hAnsi="Verdana" w:cs="Calibri"/>
          <w:bCs/>
          <w:sz w:val="20"/>
          <w:szCs w:val="20"/>
        </w:rPr>
      </w:pPr>
    </w:p>
    <w:p w14:paraId="69E44959" w14:textId="77777777" w:rsidR="00B80438" w:rsidRPr="00282EDB" w:rsidRDefault="00B80438" w:rsidP="00F95AA8">
      <w:pPr>
        <w:numPr>
          <w:ilvl w:val="0"/>
          <w:numId w:val="34"/>
        </w:numPr>
        <w:spacing w:after="0" w:line="240" w:lineRule="auto"/>
        <w:jc w:val="both"/>
        <w:rPr>
          <w:rFonts w:ascii="Verdana" w:hAnsi="Verdana" w:cs="Calibri"/>
          <w:bCs/>
          <w:sz w:val="20"/>
          <w:szCs w:val="20"/>
        </w:rPr>
      </w:pPr>
      <w:r w:rsidRPr="00282EDB">
        <w:rPr>
          <w:rFonts w:ascii="Verdana" w:hAnsi="Verdana" w:cs="Calibri"/>
          <w:bCs/>
          <w:sz w:val="20"/>
          <w:szCs w:val="20"/>
        </w:rPr>
        <w:t>Understanding how the processes of natural variability and manmade change work – as a whole Earth system, from global to local scale, from millions of years past to the present and into the future; developing whole-system knowledge to inform responsible management of the environment for multiple benefits.</w:t>
      </w:r>
    </w:p>
    <w:p w14:paraId="75DECFD8" w14:textId="77777777" w:rsidR="00B80438" w:rsidRPr="00282EDB" w:rsidRDefault="00B80438" w:rsidP="00F95AA8">
      <w:pPr>
        <w:numPr>
          <w:ilvl w:val="0"/>
          <w:numId w:val="34"/>
        </w:numPr>
        <w:spacing w:after="0" w:line="240" w:lineRule="auto"/>
        <w:jc w:val="both"/>
        <w:rPr>
          <w:rFonts w:ascii="Verdana" w:hAnsi="Verdana" w:cs="Calibri"/>
          <w:bCs/>
          <w:sz w:val="20"/>
          <w:szCs w:val="20"/>
        </w:rPr>
      </w:pPr>
      <w:r w:rsidRPr="00282EDB">
        <w:rPr>
          <w:rFonts w:ascii="Verdana" w:hAnsi="Verdana" w:cs="Calibri"/>
          <w:bCs/>
          <w:sz w:val="20"/>
          <w:szCs w:val="20"/>
        </w:rPr>
        <w:t>Understanding how environmental processes (physical, chemical and biological processes that interact in land, water and air) control resource** availability and how we can use resources responsibly; developing this knowledge to help use and recycle resources safely and efficiently, to live within the Earth’s limits, and to steward natural resources for future generations.</w:t>
      </w:r>
    </w:p>
    <w:p w14:paraId="7FD87C9D" w14:textId="77777777" w:rsidR="00B80438" w:rsidRPr="00282EDB" w:rsidRDefault="00B80438" w:rsidP="00F95AA8">
      <w:pPr>
        <w:numPr>
          <w:ilvl w:val="0"/>
          <w:numId w:val="35"/>
        </w:numPr>
        <w:spacing w:after="0" w:line="240" w:lineRule="auto"/>
        <w:jc w:val="both"/>
        <w:rPr>
          <w:rFonts w:ascii="Verdana" w:hAnsi="Verdana" w:cs="Calibri"/>
          <w:bCs/>
          <w:sz w:val="20"/>
          <w:szCs w:val="20"/>
        </w:rPr>
      </w:pPr>
      <w:r w:rsidRPr="00282EDB">
        <w:rPr>
          <w:rFonts w:ascii="Verdana" w:hAnsi="Verdana" w:cs="Calibri"/>
          <w:bCs/>
          <w:sz w:val="20"/>
          <w:szCs w:val="20"/>
        </w:rPr>
        <w:t>Understanding the relationships between ecosystem stocks and service flows, and benefits that are delivered as a result, such that the critical levels of the stocks are understood to allow the identification and so avoidance of the abrupt and damaging change in the delivery of benefits (i.e. tipping points).</w:t>
      </w:r>
    </w:p>
    <w:p w14:paraId="2F318980" w14:textId="77777777" w:rsidR="00B80438" w:rsidRPr="00282EDB" w:rsidRDefault="00B80438" w:rsidP="00F95AA8">
      <w:pPr>
        <w:spacing w:after="0" w:line="240" w:lineRule="auto"/>
        <w:ind w:left="720"/>
        <w:jc w:val="both"/>
        <w:rPr>
          <w:rFonts w:ascii="Verdana" w:hAnsi="Verdana" w:cs="Calibri"/>
          <w:bCs/>
          <w:sz w:val="20"/>
          <w:szCs w:val="20"/>
        </w:rPr>
      </w:pPr>
    </w:p>
    <w:p w14:paraId="1A74ADB9" w14:textId="77777777" w:rsidR="00B80438" w:rsidRPr="00282EDB" w:rsidRDefault="00B80438" w:rsidP="00F95AA8">
      <w:pPr>
        <w:spacing w:after="0" w:line="240" w:lineRule="auto"/>
        <w:jc w:val="both"/>
        <w:rPr>
          <w:rFonts w:ascii="Verdana" w:hAnsi="Verdana" w:cs="Calibri"/>
          <w:bCs/>
          <w:sz w:val="20"/>
          <w:szCs w:val="20"/>
        </w:rPr>
      </w:pPr>
      <w:r w:rsidRPr="00282EDB">
        <w:rPr>
          <w:rFonts w:ascii="Verdana" w:hAnsi="Verdana" w:cs="Calibri"/>
          <w:bCs/>
          <w:sz w:val="20"/>
          <w:szCs w:val="20"/>
        </w:rPr>
        <w:t>* Please note that the research under this theme must focus on the interconnected nature of the nexus, and not any single sector in isolation. For example, projects focussing solely on energy technologies will not be considered.</w:t>
      </w:r>
    </w:p>
    <w:p w14:paraId="09394ADB" w14:textId="77777777" w:rsidR="00B80438" w:rsidRPr="00282EDB" w:rsidRDefault="00B80438" w:rsidP="00F95AA8">
      <w:pPr>
        <w:spacing w:after="0" w:line="240" w:lineRule="auto"/>
        <w:jc w:val="both"/>
        <w:rPr>
          <w:rFonts w:ascii="Verdana" w:hAnsi="Verdana" w:cs="Calibri"/>
          <w:bCs/>
          <w:sz w:val="20"/>
          <w:szCs w:val="20"/>
        </w:rPr>
      </w:pPr>
    </w:p>
    <w:p w14:paraId="73044C18" w14:textId="72B86AE1" w:rsidR="00D34197" w:rsidRPr="00CB2B36" w:rsidRDefault="00B80438" w:rsidP="00F95AA8">
      <w:pPr>
        <w:pStyle w:val="Heading3"/>
        <w:jc w:val="both"/>
        <w:rPr>
          <w:rFonts w:ascii="Verdana" w:hAnsi="Verdana"/>
          <w:sz w:val="20"/>
        </w:rPr>
      </w:pPr>
      <w:r w:rsidRPr="00282EDB">
        <w:rPr>
          <w:rFonts w:ascii="Verdana" w:hAnsi="Verdana" w:cs="Calibri"/>
          <w:b w:val="0"/>
          <w:bCs w:val="0"/>
          <w:sz w:val="20"/>
          <w:szCs w:val="20"/>
        </w:rPr>
        <w:lastRenderedPageBreak/>
        <w:t>**(food, water, energy, minerals and other essential services we get from nature such as ecosystem)</w:t>
      </w:r>
      <w:r w:rsidR="00D34197" w:rsidRPr="00282EDB">
        <w:rPr>
          <w:rFonts w:ascii="Verdana" w:hAnsi="Verdana"/>
          <w:b w:val="0"/>
          <w:sz w:val="20"/>
          <w:szCs w:val="20"/>
        </w:rPr>
        <w:t xml:space="preserve"> </w:t>
      </w:r>
    </w:p>
    <w:p w14:paraId="461E27B0" w14:textId="77777777" w:rsidR="008D73F3" w:rsidRPr="008D73F3" w:rsidRDefault="008D73F3" w:rsidP="00F95AA8">
      <w:pPr>
        <w:jc w:val="both"/>
        <w:rPr>
          <w:rFonts w:cstheme="minorHAnsi"/>
        </w:rPr>
      </w:pPr>
    </w:p>
    <w:p w14:paraId="5F55A60C" w14:textId="77777777" w:rsidR="00272732" w:rsidRDefault="00272732" w:rsidP="00F95AA8">
      <w:pPr>
        <w:pStyle w:val="PlainText"/>
        <w:jc w:val="both"/>
        <w:rPr>
          <w:rFonts w:ascii="Verdana" w:hAnsi="Verdana"/>
          <w:b/>
          <w:bCs/>
          <w:sz w:val="20"/>
          <w:szCs w:val="20"/>
        </w:rPr>
      </w:pPr>
      <w:r w:rsidRPr="008E3DEC">
        <w:rPr>
          <w:rFonts w:ascii="Verdana" w:hAnsi="Verdana" w:cstheme="minorHAnsi"/>
          <w:b/>
          <w:bCs/>
          <w:sz w:val="20"/>
          <w:szCs w:val="20"/>
          <w:u w:val="single"/>
        </w:rPr>
        <w:t xml:space="preserve">Mental Health </w:t>
      </w:r>
      <w:r w:rsidRPr="008E3DEC">
        <w:rPr>
          <w:rFonts w:ascii="Verdana" w:hAnsi="Verdana"/>
          <w:b/>
          <w:bCs/>
          <w:sz w:val="20"/>
          <w:szCs w:val="20"/>
        </w:rPr>
        <w:t xml:space="preserve">- community based </w:t>
      </w:r>
      <w:r>
        <w:rPr>
          <w:rFonts w:ascii="Verdana" w:hAnsi="Verdana"/>
          <w:b/>
          <w:bCs/>
          <w:sz w:val="20"/>
          <w:szCs w:val="20"/>
        </w:rPr>
        <w:t xml:space="preserve">recovery following natural disasters </w:t>
      </w:r>
      <w:r>
        <w:rPr>
          <w:rFonts w:ascii="Verdana" w:hAnsi="Verdana"/>
          <w:b/>
          <w:bCs/>
          <w:sz w:val="20"/>
          <w:szCs w:val="20"/>
        </w:rPr>
        <w:br/>
      </w:r>
    </w:p>
    <w:p w14:paraId="73D00A39" w14:textId="3844AA8E" w:rsidR="00272732" w:rsidRPr="00F95AA8" w:rsidRDefault="00272732" w:rsidP="00F95AA8">
      <w:pPr>
        <w:spacing w:after="0" w:line="240" w:lineRule="auto"/>
        <w:jc w:val="both"/>
        <w:rPr>
          <w:rFonts w:ascii="Verdana" w:hAnsi="Verdana" w:cs="Calibri"/>
          <w:sz w:val="20"/>
          <w:szCs w:val="20"/>
        </w:rPr>
      </w:pPr>
      <w:r w:rsidRPr="00F95AA8">
        <w:rPr>
          <w:rFonts w:ascii="Verdana" w:hAnsi="Verdana" w:cs="Calibri"/>
          <w:sz w:val="20"/>
          <w:szCs w:val="20"/>
        </w:rPr>
        <w:t>This theme particularly focuses on recovery from trauma associated with environmental disasters or conflict, and inter-rel</w:t>
      </w:r>
      <w:r w:rsidR="000A05DA" w:rsidRPr="00F95AA8">
        <w:rPr>
          <w:rFonts w:ascii="Verdana" w:hAnsi="Verdana" w:cs="Calibri"/>
          <w:sz w:val="20"/>
          <w:szCs w:val="20"/>
        </w:rPr>
        <w:t>a</w:t>
      </w:r>
      <w:r w:rsidRPr="00F95AA8">
        <w:rPr>
          <w:rFonts w:ascii="Verdana" w:hAnsi="Verdana" w:cs="Calibri"/>
          <w:sz w:val="20"/>
          <w:szCs w:val="20"/>
        </w:rPr>
        <w:t xml:space="preserve">tionships with other public health challenges. We wish to fund research on transitions people make from trauma and are particularly interested in mental health within a community context.  </w:t>
      </w:r>
    </w:p>
    <w:p w14:paraId="0F25342E" w14:textId="77777777" w:rsidR="00272732" w:rsidRPr="00F95AA8" w:rsidRDefault="00272732" w:rsidP="00F95AA8">
      <w:pPr>
        <w:spacing w:after="0" w:line="240" w:lineRule="auto"/>
        <w:jc w:val="both"/>
        <w:rPr>
          <w:rFonts w:ascii="Verdana" w:hAnsi="Verdana" w:cs="Calibri"/>
          <w:sz w:val="20"/>
          <w:szCs w:val="20"/>
        </w:rPr>
      </w:pPr>
    </w:p>
    <w:p w14:paraId="214F8BC6" w14:textId="77777777" w:rsidR="00272732" w:rsidRPr="00F95AA8" w:rsidRDefault="00272732" w:rsidP="00F95AA8">
      <w:pPr>
        <w:spacing w:after="0" w:line="240" w:lineRule="auto"/>
        <w:jc w:val="both"/>
        <w:rPr>
          <w:rFonts w:ascii="Verdana" w:hAnsi="Verdana" w:cs="Calibri"/>
          <w:sz w:val="20"/>
          <w:szCs w:val="20"/>
        </w:rPr>
      </w:pPr>
      <w:r w:rsidRPr="00F95AA8">
        <w:rPr>
          <w:rFonts w:ascii="Verdana" w:hAnsi="Verdana" w:cs="Calibri"/>
          <w:sz w:val="20"/>
          <w:szCs w:val="20"/>
        </w:rPr>
        <w:t xml:space="preserve">Wide scale societal and environment events such as natural disasters and conflict are traumatic, with long term effects on health. People and communities react to, and cope with, these effects in a variety of ways, and will have different levels of in-built resilience to cope.  Health systems (both formal and informal) also often adapt to respond to the needs that arise in many ways, from small scale community based activity to raise awareness of, and support those with specific mental health issues, to new policies focussing on mental health. Research is needed to understand the complexity of these situations and find out what has happened and what has worked in different settings in order to suggest solutions.   There is a particular focus on community based approaches to dealing with the mental health consequences of natural </w:t>
      </w:r>
      <w:proofErr w:type="gramStart"/>
      <w:r w:rsidRPr="00F95AA8">
        <w:rPr>
          <w:rFonts w:ascii="Verdana" w:hAnsi="Verdana" w:cs="Calibri"/>
          <w:sz w:val="20"/>
          <w:szCs w:val="20"/>
        </w:rPr>
        <w:t>disasters ,</w:t>
      </w:r>
      <w:proofErr w:type="gramEnd"/>
      <w:r w:rsidRPr="00F95AA8">
        <w:rPr>
          <w:rFonts w:ascii="Verdana" w:hAnsi="Verdana" w:cs="Calibri"/>
          <w:sz w:val="20"/>
          <w:szCs w:val="20"/>
        </w:rPr>
        <w:t xml:space="preserve"> although proposals that link to the broader health system are also welcome.  It is particularly important to develop innovative solutions to these long term problems that are developed and tested in the contexts in which they will operate. Research looking in to issues around inequality in these contexts is also welcome, including access to services. </w:t>
      </w:r>
    </w:p>
    <w:p w14:paraId="03B1F437" w14:textId="77777777" w:rsidR="00272732" w:rsidRPr="00F95AA8" w:rsidRDefault="00272732" w:rsidP="00F95AA8">
      <w:pPr>
        <w:spacing w:after="0" w:line="240" w:lineRule="auto"/>
        <w:jc w:val="both"/>
        <w:rPr>
          <w:rFonts w:ascii="Verdana" w:hAnsi="Verdana" w:cs="Calibri"/>
          <w:sz w:val="20"/>
          <w:szCs w:val="20"/>
        </w:rPr>
      </w:pPr>
    </w:p>
    <w:p w14:paraId="5CF287D1" w14:textId="77777777" w:rsidR="00272732" w:rsidRPr="00F95AA8" w:rsidRDefault="00272732" w:rsidP="00F95AA8">
      <w:pPr>
        <w:spacing w:after="0" w:line="240" w:lineRule="auto"/>
        <w:jc w:val="both"/>
        <w:rPr>
          <w:rFonts w:ascii="Verdana" w:hAnsi="Verdana" w:cs="Calibri"/>
          <w:sz w:val="20"/>
          <w:szCs w:val="20"/>
        </w:rPr>
      </w:pPr>
      <w:r w:rsidRPr="00F95AA8">
        <w:rPr>
          <w:rFonts w:ascii="Verdana" w:hAnsi="Verdana" w:cs="Calibri"/>
          <w:sz w:val="20"/>
          <w:szCs w:val="20"/>
        </w:rPr>
        <w:t xml:space="preserve">Mental health disorders </w:t>
      </w:r>
      <w:proofErr w:type="gramStart"/>
      <w:r w:rsidRPr="00F95AA8">
        <w:rPr>
          <w:rFonts w:ascii="Verdana" w:hAnsi="Verdana" w:cs="Calibri"/>
          <w:sz w:val="20"/>
          <w:szCs w:val="20"/>
        </w:rPr>
        <w:t>are  often</w:t>
      </w:r>
      <w:proofErr w:type="gramEnd"/>
      <w:r w:rsidRPr="00F95AA8">
        <w:rPr>
          <w:rFonts w:ascii="Verdana" w:hAnsi="Verdana" w:cs="Calibri"/>
          <w:sz w:val="20"/>
          <w:szCs w:val="20"/>
        </w:rPr>
        <w:t xml:space="preserve"> experienced as long term, chronic, conditions and place considerable pressures on existing health systems and budgets. Mental </w:t>
      </w:r>
      <w:proofErr w:type="gramStart"/>
      <w:r w:rsidRPr="00F95AA8">
        <w:rPr>
          <w:rFonts w:ascii="Verdana" w:hAnsi="Verdana" w:cs="Calibri"/>
          <w:sz w:val="20"/>
          <w:szCs w:val="20"/>
        </w:rPr>
        <w:t>health  affects</w:t>
      </w:r>
      <w:proofErr w:type="gramEnd"/>
      <w:r w:rsidRPr="00F95AA8">
        <w:rPr>
          <w:rFonts w:ascii="Verdana" w:hAnsi="Verdana" w:cs="Calibri"/>
          <w:sz w:val="20"/>
          <w:szCs w:val="20"/>
        </w:rPr>
        <w:t xml:space="preserve"> efforts to meet development goals and public health challenges such as promotion of gender equality, reduction of child mortality, improvement of maternal health, and reversal of the spread of HIV/AIDS. There is a need therefore to embed mental health awareness across all aspects of national, regional, local and community level health and social policy, health system planning and delivery of health care.</w:t>
      </w:r>
      <w:r w:rsidRPr="00F95AA8">
        <w:rPr>
          <w:rStyle w:val="FootnoteReference"/>
          <w:rFonts w:ascii="Verdana" w:hAnsi="Verdana" w:cs="Calibri"/>
          <w:sz w:val="20"/>
          <w:szCs w:val="20"/>
        </w:rPr>
        <w:footnoteReference w:id="1"/>
      </w:r>
      <w:r w:rsidRPr="00F95AA8">
        <w:rPr>
          <w:rFonts w:ascii="Verdana" w:hAnsi="Verdana" w:cs="Calibri"/>
          <w:sz w:val="20"/>
          <w:szCs w:val="20"/>
        </w:rPr>
        <w:t xml:space="preserve"> Therefore building research capacity in mental health, particularly in research focussed on health and community systems is central to progress in this area and collaboration among SE Asian and other international researchers in mental health is seen as a key facilitator of this process.</w:t>
      </w:r>
      <w:r w:rsidRPr="00F95AA8">
        <w:rPr>
          <w:rStyle w:val="FootnoteReference"/>
          <w:rFonts w:ascii="Verdana" w:hAnsi="Verdana" w:cs="Calibri"/>
          <w:sz w:val="20"/>
          <w:szCs w:val="20"/>
        </w:rPr>
        <w:footnoteReference w:id="2"/>
      </w:r>
    </w:p>
    <w:p w14:paraId="5F5152B6" w14:textId="77777777" w:rsidR="00272732" w:rsidRPr="00F95AA8" w:rsidRDefault="00272732" w:rsidP="00F95AA8">
      <w:pPr>
        <w:spacing w:after="0" w:line="240" w:lineRule="auto"/>
        <w:jc w:val="both"/>
        <w:rPr>
          <w:rFonts w:ascii="Verdana" w:hAnsi="Verdana" w:cs="Calibri"/>
          <w:sz w:val="20"/>
          <w:szCs w:val="20"/>
        </w:rPr>
      </w:pPr>
      <w:r w:rsidRPr="00F95AA8">
        <w:rPr>
          <w:rFonts w:ascii="Verdana" w:hAnsi="Verdana" w:cs="Calibri"/>
          <w:sz w:val="20"/>
          <w:szCs w:val="20"/>
        </w:rPr>
        <w:t xml:space="preserve">  </w:t>
      </w:r>
    </w:p>
    <w:p w14:paraId="4DDEFEA3" w14:textId="77777777" w:rsidR="00272732" w:rsidRPr="00F95AA8" w:rsidRDefault="00272732" w:rsidP="00F95AA8">
      <w:pPr>
        <w:spacing w:after="0" w:line="240" w:lineRule="auto"/>
        <w:jc w:val="both"/>
        <w:rPr>
          <w:rFonts w:ascii="Verdana" w:hAnsi="Verdana" w:cs="Calibri"/>
          <w:sz w:val="20"/>
          <w:szCs w:val="20"/>
        </w:rPr>
      </w:pPr>
      <w:r w:rsidRPr="00F95AA8">
        <w:rPr>
          <w:rFonts w:ascii="Verdana" w:hAnsi="Verdana" w:cs="Calibri"/>
          <w:sz w:val="20"/>
          <w:szCs w:val="20"/>
        </w:rPr>
        <w:t>This call encourages researchers from a variety of backgrounds (including health care, psychology, anthropology for example) to work together to investigate these complex issues. Proposals that apply the learning from one context to a variety of other international settings and contexts are also welcome. </w:t>
      </w:r>
      <w:r w:rsidRPr="00F95AA8">
        <w:rPr>
          <w:rFonts w:ascii="Verdana" w:hAnsi="Verdana" w:cs="Calibri"/>
          <w:sz w:val="20"/>
          <w:szCs w:val="20"/>
        </w:rPr>
        <w:br/>
      </w:r>
    </w:p>
    <w:p w14:paraId="7EDB89FA" w14:textId="77777777" w:rsidR="00272732" w:rsidRPr="00F95AA8" w:rsidRDefault="00272732" w:rsidP="00F95AA8">
      <w:pPr>
        <w:jc w:val="both"/>
        <w:rPr>
          <w:rFonts w:ascii="Verdana" w:hAnsi="Verdana"/>
          <w:sz w:val="20"/>
          <w:szCs w:val="20"/>
        </w:rPr>
      </w:pPr>
      <w:r w:rsidRPr="00F95AA8">
        <w:rPr>
          <w:rFonts w:ascii="Verdana" w:hAnsi="Verdana"/>
          <w:sz w:val="20"/>
          <w:szCs w:val="20"/>
        </w:rPr>
        <w:t>Research areas of interest may include, but are not limited to:</w:t>
      </w:r>
    </w:p>
    <w:p w14:paraId="4749490F" w14:textId="77777777" w:rsidR="00272732" w:rsidRPr="00F95AA8" w:rsidRDefault="00272732" w:rsidP="00F95AA8">
      <w:pPr>
        <w:pStyle w:val="ListParagraph"/>
        <w:numPr>
          <w:ilvl w:val="0"/>
          <w:numId w:val="32"/>
        </w:numPr>
        <w:jc w:val="both"/>
        <w:rPr>
          <w:rFonts w:ascii="Verdana" w:hAnsi="Verdana"/>
          <w:sz w:val="20"/>
          <w:szCs w:val="20"/>
        </w:rPr>
      </w:pPr>
      <w:r w:rsidRPr="00F95AA8">
        <w:rPr>
          <w:rFonts w:ascii="Verdana" w:hAnsi="Verdana"/>
          <w:sz w:val="20"/>
          <w:szCs w:val="20"/>
        </w:rPr>
        <w:t>Learning from and developing community based responses to mental health challenges in the wake of environmental disaster and/or conflict, including co-design of responses and services.</w:t>
      </w:r>
    </w:p>
    <w:p w14:paraId="6184AD6C" w14:textId="77777777" w:rsidR="00272732" w:rsidRPr="00F95AA8" w:rsidRDefault="00272732" w:rsidP="00F95AA8">
      <w:pPr>
        <w:pStyle w:val="ListParagraph"/>
        <w:numPr>
          <w:ilvl w:val="0"/>
          <w:numId w:val="32"/>
        </w:numPr>
        <w:jc w:val="both"/>
        <w:rPr>
          <w:rFonts w:ascii="Verdana" w:hAnsi="Verdana"/>
          <w:sz w:val="20"/>
          <w:szCs w:val="20"/>
        </w:rPr>
      </w:pPr>
      <w:r w:rsidRPr="00F95AA8">
        <w:rPr>
          <w:rFonts w:ascii="Verdana" w:hAnsi="Verdana"/>
          <w:sz w:val="20"/>
          <w:szCs w:val="20"/>
        </w:rPr>
        <w:t>Immediate and longer term responses to environmental disaster and/or conflict</w:t>
      </w:r>
      <w:r w:rsidRPr="00F95AA8" w:rsidDel="00F51D79">
        <w:rPr>
          <w:rFonts w:ascii="Verdana" w:hAnsi="Verdana"/>
          <w:sz w:val="20"/>
          <w:szCs w:val="20"/>
        </w:rPr>
        <w:t xml:space="preserve"> </w:t>
      </w:r>
      <w:r w:rsidRPr="00F95AA8">
        <w:rPr>
          <w:rFonts w:ascii="Verdana" w:hAnsi="Verdana"/>
          <w:sz w:val="20"/>
          <w:szCs w:val="20"/>
        </w:rPr>
        <w:t xml:space="preserve">and the relationship between the two </w:t>
      </w:r>
    </w:p>
    <w:p w14:paraId="39FDF46E" w14:textId="77777777" w:rsidR="00272732" w:rsidRPr="00F95AA8" w:rsidRDefault="00272732" w:rsidP="00F95AA8">
      <w:pPr>
        <w:pStyle w:val="ListParagraph"/>
        <w:numPr>
          <w:ilvl w:val="0"/>
          <w:numId w:val="32"/>
        </w:numPr>
        <w:jc w:val="both"/>
        <w:rPr>
          <w:rFonts w:ascii="Verdana" w:hAnsi="Verdana"/>
          <w:sz w:val="20"/>
          <w:szCs w:val="20"/>
        </w:rPr>
      </w:pPr>
      <w:r w:rsidRPr="00F95AA8">
        <w:rPr>
          <w:rFonts w:ascii="Verdana" w:hAnsi="Verdana"/>
          <w:sz w:val="20"/>
          <w:szCs w:val="20"/>
        </w:rPr>
        <w:lastRenderedPageBreak/>
        <w:t>Inequalities in quality and access of mental health services in the context of environmental disaster and/or conflict in different contexts and how this might be addressed.</w:t>
      </w:r>
    </w:p>
    <w:p w14:paraId="5E9704E3" w14:textId="77777777" w:rsidR="00272732" w:rsidRPr="00F95AA8" w:rsidRDefault="00272732" w:rsidP="00F95AA8">
      <w:pPr>
        <w:pStyle w:val="ListParagraph"/>
        <w:numPr>
          <w:ilvl w:val="0"/>
          <w:numId w:val="32"/>
        </w:numPr>
        <w:jc w:val="both"/>
        <w:rPr>
          <w:rFonts w:ascii="Verdana" w:hAnsi="Verdana"/>
          <w:sz w:val="20"/>
          <w:szCs w:val="20"/>
        </w:rPr>
      </w:pPr>
      <w:r w:rsidRPr="00F95AA8">
        <w:rPr>
          <w:rFonts w:ascii="Verdana" w:hAnsi="Verdana"/>
          <w:sz w:val="20"/>
          <w:szCs w:val="20"/>
        </w:rPr>
        <w:t xml:space="preserve">Awareness, resilience or susceptibility to mental health challenges in the context of environmental disaster and/or conflict and how this varies over time and by social circumstance. </w:t>
      </w:r>
    </w:p>
    <w:p w14:paraId="1AA1C43F" w14:textId="77777777" w:rsidR="00061F22" w:rsidRPr="008E3DEC" w:rsidRDefault="00061F22" w:rsidP="00F95AA8">
      <w:pPr>
        <w:pStyle w:val="PlainText"/>
        <w:ind w:left="720"/>
        <w:jc w:val="both"/>
        <w:rPr>
          <w:rFonts w:ascii="Verdana" w:hAnsi="Verdana"/>
          <w:b/>
          <w:bCs/>
          <w:sz w:val="20"/>
          <w:szCs w:val="20"/>
        </w:rPr>
      </w:pPr>
    </w:p>
    <w:p w14:paraId="48ACCEC3" w14:textId="626C92B0" w:rsidR="008D73F3" w:rsidRPr="00186349" w:rsidRDefault="007C0D2E" w:rsidP="00F95AA8">
      <w:pPr>
        <w:pStyle w:val="PlainText"/>
        <w:jc w:val="both"/>
        <w:rPr>
          <w:rFonts w:ascii="Verdana" w:eastAsia="Arial Unicode MS" w:hAnsi="Verdana" w:cs="Arial Unicode MS"/>
          <w:b/>
          <w:color w:val="000000"/>
          <w:sz w:val="20"/>
          <w:u w:val="single"/>
          <w:shd w:val="clear" w:color="auto" w:fill="FFFFFF"/>
        </w:rPr>
      </w:pPr>
      <w:r w:rsidRPr="007C0D2E">
        <w:rPr>
          <w:rFonts w:ascii="Verdana" w:eastAsia="Arial Unicode MS" w:hAnsi="Verdana" w:cs="Arial Unicode MS"/>
          <w:b/>
          <w:color w:val="000000"/>
          <w:sz w:val="20"/>
          <w:u w:val="single"/>
          <w:shd w:val="clear" w:color="auto" w:fill="FFFFFF"/>
        </w:rPr>
        <w:t xml:space="preserve">Capacity Building in Big Data and Technology Development through Astronomy </w:t>
      </w:r>
    </w:p>
    <w:p w14:paraId="2884E888" w14:textId="77777777" w:rsidR="008D73F3" w:rsidRPr="008E3DEC" w:rsidRDefault="008D73F3" w:rsidP="00F95AA8">
      <w:pPr>
        <w:spacing w:after="0" w:line="240" w:lineRule="auto"/>
        <w:jc w:val="both"/>
        <w:rPr>
          <w:rFonts w:ascii="Verdana" w:eastAsia="Arial Unicode MS" w:hAnsi="Verdana" w:cs="Arial Unicode MS"/>
          <w:color w:val="000000"/>
          <w:sz w:val="20"/>
          <w:shd w:val="clear" w:color="auto" w:fill="FFFFFF"/>
        </w:rPr>
      </w:pPr>
    </w:p>
    <w:p w14:paraId="425F5E25" w14:textId="77777777" w:rsidR="008A0187" w:rsidRPr="00F95AA8" w:rsidRDefault="00D34197" w:rsidP="00F95AA8">
      <w:pPr>
        <w:jc w:val="both"/>
        <w:rPr>
          <w:rFonts w:ascii="Verdana" w:eastAsia="Arial Unicode MS" w:hAnsi="Verdana" w:cs="Arial Unicode MS"/>
          <w:color w:val="000000"/>
          <w:sz w:val="20"/>
          <w:szCs w:val="20"/>
          <w:shd w:val="clear" w:color="auto" w:fill="FFFFFF"/>
        </w:rPr>
      </w:pPr>
      <w:r w:rsidRPr="00F95AA8">
        <w:rPr>
          <w:rFonts w:ascii="Verdana" w:eastAsia="Arial Unicode MS" w:hAnsi="Verdana" w:cs="Arial Unicode MS"/>
          <w:color w:val="000000"/>
          <w:sz w:val="20"/>
          <w:szCs w:val="20"/>
          <w:shd w:val="clear" w:color="auto" w:fill="FFFFFF"/>
        </w:rPr>
        <w:t>Science and technology are the differentiators between countries that are able to tackle poverty effectively by growing and developing their economies, and those that are not. The extent to which developing economies emerge as economic powerhouses depends on their ability to grasp and apply insights from science and technology and use them creatively. Innovation is the primary driver of technological growth and drives higher living standards.</w:t>
      </w:r>
      <w:bookmarkStart w:id="1" w:name="_Ref316720530"/>
      <w:r w:rsidRPr="00F95AA8">
        <w:rPr>
          <w:rStyle w:val="FootnoteReference"/>
          <w:rFonts w:ascii="Verdana" w:eastAsia="Arial Unicode MS" w:hAnsi="Verdana" w:cs="Arial Unicode MS"/>
          <w:color w:val="000000"/>
          <w:sz w:val="20"/>
          <w:szCs w:val="20"/>
          <w:shd w:val="clear" w:color="auto" w:fill="FFFFFF"/>
        </w:rPr>
        <w:footnoteReference w:id="3"/>
      </w:r>
      <w:bookmarkEnd w:id="1"/>
      <w:r w:rsidR="008A0187" w:rsidRPr="00F95AA8">
        <w:rPr>
          <w:rFonts w:ascii="Verdana" w:eastAsia="Arial Unicode MS" w:hAnsi="Verdana" w:cs="Arial Unicode MS"/>
          <w:color w:val="000000"/>
          <w:sz w:val="20"/>
          <w:szCs w:val="20"/>
          <w:shd w:val="clear" w:color="auto" w:fill="FFFFFF"/>
        </w:rPr>
        <w:t xml:space="preserve"> </w:t>
      </w:r>
    </w:p>
    <w:p w14:paraId="78C0848A" w14:textId="0CA9A689" w:rsidR="001130F4" w:rsidRPr="00F95AA8" w:rsidRDefault="008A0187" w:rsidP="00F95AA8">
      <w:pPr>
        <w:jc w:val="both"/>
        <w:rPr>
          <w:rFonts w:ascii="Verdana" w:eastAsia="Arial Unicode MS" w:hAnsi="Verdana" w:cs="Arial Unicode MS"/>
          <w:sz w:val="20"/>
          <w:szCs w:val="20"/>
          <w:lang w:val="en-US"/>
        </w:rPr>
      </w:pPr>
      <w:r w:rsidRPr="00F95AA8">
        <w:rPr>
          <w:rFonts w:ascii="Verdana" w:hAnsi="Verdana"/>
          <w:sz w:val="20"/>
          <w:szCs w:val="20"/>
        </w:rPr>
        <w:t xml:space="preserve">Helping Southeast Asian partner countries to meet Sustainable Development Goal (SDG) 4 through enabling quality technical, vocational and tertiary education in areas and thereby increase the number of young adults who have relevant technical and vocational skills for employment in decent jobs is one way to improve the economic development of these countries. This will help increase much sought-after science and technology advancement that leads countries towards an innovation driven society in the long run. This builds on SDG 8 in promoting economic productivity through technology upgrading and innovation to focus on high-value added sectors, and SDG 9 by enhancing research, upgrading technological capabilities and encouraging domestic technology development, research and innovation. </w:t>
      </w:r>
    </w:p>
    <w:p w14:paraId="346C2993" w14:textId="636687BF" w:rsidR="00D34197" w:rsidRPr="00F95AA8" w:rsidRDefault="00D34197" w:rsidP="00F95AA8">
      <w:pPr>
        <w:jc w:val="both"/>
        <w:rPr>
          <w:rFonts w:ascii="Verdana" w:hAnsi="Verdana"/>
          <w:sz w:val="20"/>
          <w:szCs w:val="20"/>
          <w:shd w:val="clear" w:color="auto" w:fill="FCFCFC"/>
        </w:rPr>
      </w:pPr>
      <w:r w:rsidRPr="00F95AA8">
        <w:rPr>
          <w:rFonts w:ascii="Verdana" w:hAnsi="Verdana"/>
          <w:sz w:val="20"/>
          <w:szCs w:val="20"/>
        </w:rPr>
        <w:t xml:space="preserve">Astronomy is a unique and cost-effective way to further economic development because technological and scientific revolutions underpin economic advances and improvements in health systems, education and infrastructure. </w:t>
      </w:r>
      <w:r w:rsidRPr="00F95AA8">
        <w:rPr>
          <w:rStyle w:val="FootnoteReference"/>
          <w:rFonts w:ascii="Verdana" w:eastAsia="Arial Unicode MS" w:hAnsi="Verdana" w:cs="Arial Unicode MS"/>
          <w:sz w:val="20"/>
          <w:szCs w:val="20"/>
        </w:rPr>
        <w:footnoteReference w:id="4"/>
      </w:r>
      <w:r w:rsidRPr="00F95AA8">
        <w:rPr>
          <w:rFonts w:ascii="Verdana" w:hAnsi="Verdana"/>
          <w:sz w:val="20"/>
          <w:szCs w:val="20"/>
        </w:rPr>
        <w:t xml:space="preserve"> National research programmes in astronomy inspire the young to enter careers in science and technology. </w:t>
      </w:r>
      <w:r w:rsidRPr="00F95AA8">
        <w:rPr>
          <w:rFonts w:ascii="Verdana" w:hAnsi="Verdana"/>
          <w:sz w:val="20"/>
          <w:szCs w:val="20"/>
          <w:shd w:val="clear" w:color="auto" w:fill="FCFCFC"/>
        </w:rPr>
        <w:t>This not only creates an immediate impact on skills and training by encouraging students to study science and engineering,</w:t>
      </w:r>
      <w:r w:rsidRPr="00F95AA8">
        <w:rPr>
          <w:rFonts w:ascii="Verdana" w:hAnsi="Verdana"/>
          <w:sz w:val="20"/>
          <w:szCs w:val="20"/>
        </w:rPr>
        <w:t xml:space="preserve"> and equipping students with skills that can be exploited in other sectors leading increased economic development but it</w:t>
      </w:r>
      <w:r w:rsidRPr="00F95AA8">
        <w:rPr>
          <w:rFonts w:ascii="Verdana" w:hAnsi="Verdana"/>
          <w:sz w:val="20"/>
          <w:szCs w:val="20"/>
          <w:shd w:val="clear" w:color="auto" w:fill="FCFCFC"/>
        </w:rPr>
        <w:t xml:space="preserve"> pushes the boundaries of science and technology and so supports the growth of a high-technology economy.</w:t>
      </w:r>
    </w:p>
    <w:p w14:paraId="3483C040" w14:textId="77777777" w:rsidR="00D34197" w:rsidRPr="00F95AA8" w:rsidRDefault="00D34197" w:rsidP="00F95AA8">
      <w:pPr>
        <w:jc w:val="both"/>
        <w:rPr>
          <w:rFonts w:ascii="Verdana" w:hAnsi="Verdana"/>
          <w:sz w:val="20"/>
          <w:szCs w:val="20"/>
        </w:rPr>
      </w:pPr>
      <w:r w:rsidRPr="00F95AA8">
        <w:rPr>
          <w:rFonts w:ascii="Verdana" w:hAnsi="Verdana"/>
          <w:sz w:val="20"/>
          <w:szCs w:val="20"/>
        </w:rPr>
        <w:t xml:space="preserve">The UK has internationally leading expertise in areas such as telescope instrumentation, advanced optics, data handling and analysis. Moreover the UK has advanced the use of astronomy in STEM education programmes at all level both in the UK, through the National Space Academy, and in South Africa under the Newton Fund. </w:t>
      </w:r>
    </w:p>
    <w:p w14:paraId="3D73148B" w14:textId="77777777" w:rsidR="00D34197" w:rsidRPr="00F95AA8" w:rsidRDefault="00D34197" w:rsidP="00F95AA8">
      <w:pPr>
        <w:jc w:val="both"/>
        <w:rPr>
          <w:rFonts w:ascii="Verdana" w:hAnsi="Verdana"/>
          <w:sz w:val="20"/>
          <w:szCs w:val="20"/>
        </w:rPr>
      </w:pPr>
      <w:r w:rsidRPr="00F95AA8">
        <w:rPr>
          <w:rFonts w:ascii="Verdana" w:hAnsi="Verdana"/>
          <w:sz w:val="20"/>
          <w:szCs w:val="20"/>
        </w:rPr>
        <w:t xml:space="preserve">We propose activities around the following: </w:t>
      </w:r>
    </w:p>
    <w:p w14:paraId="02E7E24E" w14:textId="77777777" w:rsidR="00D34197" w:rsidRPr="00F95AA8" w:rsidRDefault="00D34197" w:rsidP="00F95AA8">
      <w:pPr>
        <w:jc w:val="both"/>
        <w:rPr>
          <w:rFonts w:ascii="Verdana" w:hAnsi="Verdana"/>
          <w:sz w:val="20"/>
          <w:szCs w:val="20"/>
        </w:rPr>
      </w:pPr>
      <w:r w:rsidRPr="00F95AA8">
        <w:rPr>
          <w:rFonts w:ascii="Verdana" w:hAnsi="Verdana"/>
          <w:sz w:val="20"/>
          <w:szCs w:val="20"/>
        </w:rPr>
        <w:t>STEM education in schools</w:t>
      </w:r>
    </w:p>
    <w:p w14:paraId="14E17A98" w14:textId="77777777" w:rsidR="00D34197" w:rsidRPr="00F95AA8" w:rsidRDefault="00D34197" w:rsidP="00F95AA8">
      <w:pPr>
        <w:jc w:val="both"/>
        <w:rPr>
          <w:rFonts w:ascii="Verdana" w:hAnsi="Verdana"/>
          <w:sz w:val="20"/>
          <w:szCs w:val="20"/>
        </w:rPr>
      </w:pPr>
      <w:proofErr w:type="gramStart"/>
      <w:r w:rsidRPr="00F95AA8">
        <w:rPr>
          <w:rFonts w:ascii="Verdana" w:hAnsi="Verdana"/>
          <w:sz w:val="20"/>
          <w:szCs w:val="20"/>
        </w:rPr>
        <w:t>Capacity building in engineering post degree level through instrumentation development, robotics and advanced optics.</w:t>
      </w:r>
      <w:proofErr w:type="gramEnd"/>
    </w:p>
    <w:p w14:paraId="1327F850" w14:textId="77777777" w:rsidR="007C0D2E" w:rsidRPr="00F95AA8" w:rsidRDefault="00D34197" w:rsidP="00F95AA8">
      <w:pPr>
        <w:jc w:val="both"/>
        <w:rPr>
          <w:rFonts w:ascii="Verdana" w:hAnsi="Verdana"/>
          <w:sz w:val="20"/>
          <w:szCs w:val="20"/>
        </w:rPr>
      </w:pPr>
      <w:r w:rsidRPr="00F95AA8">
        <w:rPr>
          <w:rFonts w:ascii="Verdana" w:hAnsi="Verdana"/>
          <w:sz w:val="20"/>
          <w:szCs w:val="20"/>
        </w:rPr>
        <w:lastRenderedPageBreak/>
        <w:t>Capacity building in computing post degree level through astronomy data handling and analysis</w:t>
      </w:r>
    </w:p>
    <w:p w14:paraId="03675538" w14:textId="1976FBC9" w:rsidR="007C0D2E" w:rsidRPr="00F95AA8" w:rsidRDefault="007C0D2E" w:rsidP="00F95AA8">
      <w:pPr>
        <w:jc w:val="both"/>
        <w:rPr>
          <w:rFonts w:ascii="Verdana" w:hAnsi="Verdana"/>
          <w:sz w:val="20"/>
          <w:szCs w:val="20"/>
        </w:rPr>
      </w:pPr>
      <w:r w:rsidRPr="00F95AA8">
        <w:rPr>
          <w:rFonts w:ascii="Verdana" w:hAnsi="Verdana"/>
          <w:sz w:val="20"/>
          <w:szCs w:val="20"/>
        </w:rPr>
        <w:t>Applicants must explain what skills will be developed, how this benefits the wider Southeast Asian economy and what future Southeast Asian research needs this meets.</w:t>
      </w:r>
    </w:p>
    <w:p w14:paraId="3E70EFC4" w14:textId="77777777" w:rsidR="007C0D2E" w:rsidRPr="007C0D2E" w:rsidRDefault="007C0D2E" w:rsidP="00F95AA8">
      <w:pPr>
        <w:jc w:val="both"/>
        <w:rPr>
          <w:rFonts w:ascii="Verdana" w:eastAsia="Arial Unicode MS" w:hAnsi="Verdana" w:cs="Arial Unicode MS"/>
          <w:sz w:val="20"/>
        </w:rPr>
      </w:pPr>
    </w:p>
    <w:p w14:paraId="1D1F32E5" w14:textId="75C9D6B1" w:rsidR="00D34197" w:rsidRPr="00186349" w:rsidRDefault="00D34197" w:rsidP="00F95AA8">
      <w:pPr>
        <w:jc w:val="both"/>
        <w:rPr>
          <w:rFonts w:ascii="Verdana" w:eastAsia="Arial Unicode MS" w:hAnsi="Verdana" w:cs="Arial Unicode MS"/>
          <w:b/>
          <w:sz w:val="20"/>
          <w:u w:val="single"/>
        </w:rPr>
      </w:pPr>
      <w:r w:rsidRPr="00186349">
        <w:rPr>
          <w:rFonts w:ascii="Verdana" w:eastAsia="Arial Unicode MS" w:hAnsi="Verdana" w:cs="Arial Unicode MS"/>
          <w:b/>
          <w:sz w:val="20"/>
          <w:u w:val="single"/>
        </w:rPr>
        <w:t xml:space="preserve">Skills for using Large Facilities </w:t>
      </w:r>
    </w:p>
    <w:p w14:paraId="50F0303D" w14:textId="77777777" w:rsidR="00D34197" w:rsidRPr="008E3DEC" w:rsidRDefault="00D34197" w:rsidP="00F95AA8">
      <w:pPr>
        <w:jc w:val="both"/>
        <w:rPr>
          <w:rFonts w:ascii="Verdana" w:eastAsia="Arial Unicode MS" w:hAnsi="Verdana" w:cs="Arial Unicode MS"/>
          <w:sz w:val="20"/>
        </w:rPr>
      </w:pPr>
      <w:r w:rsidRPr="008E3DEC">
        <w:rPr>
          <w:rFonts w:ascii="Verdana" w:eastAsia="Arial Unicode MS" w:hAnsi="Verdana" w:cs="Arial Unicode MS"/>
          <w:sz w:val="20"/>
        </w:rPr>
        <w:t>Large facilities such as synchrotrons, neutron sources and high power laser facilities have impact in a broad range of science areas.</w:t>
      </w:r>
    </w:p>
    <w:p w14:paraId="29778514" w14:textId="77777777" w:rsidR="00D34197" w:rsidRPr="008E3DEC" w:rsidRDefault="00D34197" w:rsidP="00F95AA8">
      <w:pPr>
        <w:pStyle w:val="NormalWeb"/>
        <w:shd w:val="clear" w:color="auto" w:fill="FFFFFF"/>
        <w:spacing w:before="0" w:beforeAutospacing="0" w:after="150" w:afterAutospacing="0" w:line="330" w:lineRule="atLeast"/>
        <w:jc w:val="both"/>
        <w:rPr>
          <w:rFonts w:ascii="Verdana" w:eastAsia="Arial Unicode MS" w:hAnsi="Verdana" w:cs="Arial Unicode MS"/>
          <w:sz w:val="20"/>
          <w:szCs w:val="22"/>
        </w:rPr>
      </w:pPr>
      <w:r w:rsidRPr="008E3DEC">
        <w:rPr>
          <w:rFonts w:ascii="Verdana" w:eastAsia="Arial Unicode MS" w:hAnsi="Verdana" w:cs="Arial Unicode MS"/>
          <w:sz w:val="20"/>
          <w:szCs w:val="22"/>
        </w:rPr>
        <w:t>Synchrotron light covers a broad area of the electromagnetic spectrum, from infrared through to hard X-rays, and is used for research in biology, physics, materials and engineering, and structural and environmental chemistry. The range of materials that are studies is remarkably wide ranging from biomolecules to nanomagnets, and ancient Greek helmets to chocolate. The techniques available include X-ray diffraction, X-ray spectroscopy (XAFS), small-angle/wide-angle scattering, soft X-ray spectroscopy, photoemission, and imaging.</w:t>
      </w:r>
    </w:p>
    <w:p w14:paraId="69391FD6" w14:textId="77777777" w:rsidR="00D34197" w:rsidRPr="008E3DEC" w:rsidRDefault="00D34197" w:rsidP="00F95AA8">
      <w:pPr>
        <w:pStyle w:val="NormalWeb"/>
        <w:shd w:val="clear" w:color="auto" w:fill="FFFFFF"/>
        <w:spacing w:before="0" w:beforeAutospacing="0" w:after="150" w:afterAutospacing="0" w:line="330" w:lineRule="atLeast"/>
        <w:jc w:val="both"/>
        <w:rPr>
          <w:rFonts w:ascii="Verdana" w:eastAsia="Arial Unicode MS" w:hAnsi="Verdana" w:cs="Arial Unicode MS"/>
          <w:sz w:val="20"/>
          <w:szCs w:val="22"/>
          <w:shd w:val="clear" w:color="auto" w:fill="FFFFFF"/>
        </w:rPr>
      </w:pPr>
      <w:r w:rsidRPr="008E3DEC">
        <w:rPr>
          <w:rFonts w:ascii="Verdana" w:eastAsia="Arial Unicode MS" w:hAnsi="Verdana" w:cs="Arial Unicode MS"/>
          <w:sz w:val="20"/>
          <w:szCs w:val="22"/>
        </w:rPr>
        <w:t xml:space="preserve">Neutron sources </w:t>
      </w:r>
      <w:r w:rsidRPr="008E3DEC">
        <w:rPr>
          <w:rFonts w:ascii="Verdana" w:eastAsia="Arial Unicode MS" w:hAnsi="Verdana" w:cs="Arial Unicode MS"/>
          <w:sz w:val="20"/>
          <w:szCs w:val="22"/>
          <w:shd w:val="clear" w:color="auto" w:fill="FFFFFF"/>
        </w:rPr>
        <w:t xml:space="preserve">provide detailed information on the structure and dynamics of materials on the scale of atoms and molecules across a very wide range of science areas including </w:t>
      </w:r>
    </w:p>
    <w:p w14:paraId="4F875133" w14:textId="77777777" w:rsidR="00D34197" w:rsidRPr="008E3DEC" w:rsidRDefault="00D34197" w:rsidP="00F95AA8">
      <w:pPr>
        <w:numPr>
          <w:ilvl w:val="0"/>
          <w:numId w:val="14"/>
        </w:numPr>
        <w:shd w:val="clear" w:color="auto" w:fill="FFFFFF"/>
        <w:spacing w:before="100" w:beforeAutospacing="1" w:after="100" w:afterAutospacing="1" w:line="300" w:lineRule="atLeast"/>
        <w:jc w:val="both"/>
        <w:rPr>
          <w:rFonts w:ascii="Verdana" w:eastAsia="Arial Unicode MS" w:hAnsi="Verdana" w:cs="Arial Unicode MS"/>
          <w:sz w:val="20"/>
          <w:lang w:eastAsia="en-GB"/>
        </w:rPr>
      </w:pPr>
      <w:r w:rsidRPr="008E3DEC">
        <w:rPr>
          <w:rFonts w:ascii="Verdana" w:eastAsia="Arial Unicode MS" w:hAnsi="Verdana" w:cs="Arial Unicode MS"/>
          <w:sz w:val="20"/>
          <w:lang w:eastAsia="en-GB"/>
        </w:rPr>
        <w:t>condensed matter science</w:t>
      </w:r>
    </w:p>
    <w:p w14:paraId="1542E00E" w14:textId="77777777" w:rsidR="00D34197" w:rsidRPr="008E3DEC" w:rsidRDefault="00D34197" w:rsidP="00F95AA8">
      <w:pPr>
        <w:numPr>
          <w:ilvl w:val="0"/>
          <w:numId w:val="14"/>
        </w:numPr>
        <w:shd w:val="clear" w:color="auto" w:fill="FFFFFF"/>
        <w:spacing w:before="100" w:beforeAutospacing="1" w:after="100" w:afterAutospacing="1" w:line="300" w:lineRule="atLeast"/>
        <w:jc w:val="both"/>
        <w:rPr>
          <w:rFonts w:ascii="Verdana" w:eastAsia="Arial Unicode MS" w:hAnsi="Verdana" w:cs="Arial Unicode MS"/>
          <w:sz w:val="20"/>
          <w:lang w:eastAsia="en-GB"/>
        </w:rPr>
      </w:pPr>
      <w:r w:rsidRPr="008E3DEC">
        <w:rPr>
          <w:rFonts w:ascii="Verdana" w:eastAsia="Arial Unicode MS" w:hAnsi="Verdana" w:cs="Arial Unicode MS"/>
          <w:sz w:val="20"/>
          <w:lang w:eastAsia="en-GB"/>
        </w:rPr>
        <w:t>materials science</w:t>
      </w:r>
    </w:p>
    <w:p w14:paraId="419A3A59" w14:textId="77777777" w:rsidR="00D34197" w:rsidRPr="008E3DEC" w:rsidRDefault="00D34197" w:rsidP="00F95AA8">
      <w:pPr>
        <w:numPr>
          <w:ilvl w:val="0"/>
          <w:numId w:val="14"/>
        </w:numPr>
        <w:shd w:val="clear" w:color="auto" w:fill="FFFFFF"/>
        <w:spacing w:before="100" w:beforeAutospacing="1" w:after="100" w:afterAutospacing="1" w:line="300" w:lineRule="atLeast"/>
        <w:jc w:val="both"/>
        <w:rPr>
          <w:rFonts w:ascii="Verdana" w:eastAsia="Arial Unicode MS" w:hAnsi="Verdana" w:cs="Arial Unicode MS"/>
          <w:sz w:val="20"/>
          <w:lang w:eastAsia="en-GB"/>
        </w:rPr>
      </w:pPr>
      <w:r w:rsidRPr="008E3DEC">
        <w:rPr>
          <w:rFonts w:ascii="Verdana" w:eastAsia="Arial Unicode MS" w:hAnsi="Verdana" w:cs="Arial Unicode MS"/>
          <w:sz w:val="20"/>
          <w:lang w:eastAsia="en-GB"/>
        </w:rPr>
        <w:t>chemistry</w:t>
      </w:r>
    </w:p>
    <w:p w14:paraId="54BD4A30" w14:textId="77777777" w:rsidR="00D34197" w:rsidRPr="008E3DEC" w:rsidRDefault="00D34197" w:rsidP="00F95AA8">
      <w:pPr>
        <w:numPr>
          <w:ilvl w:val="0"/>
          <w:numId w:val="14"/>
        </w:numPr>
        <w:shd w:val="clear" w:color="auto" w:fill="FFFFFF"/>
        <w:spacing w:before="100" w:beforeAutospacing="1" w:after="100" w:afterAutospacing="1" w:line="300" w:lineRule="atLeast"/>
        <w:jc w:val="both"/>
        <w:rPr>
          <w:rFonts w:ascii="Verdana" w:eastAsia="Arial Unicode MS" w:hAnsi="Verdana" w:cs="Arial Unicode MS"/>
          <w:sz w:val="20"/>
          <w:lang w:eastAsia="en-GB"/>
        </w:rPr>
      </w:pPr>
      <w:r w:rsidRPr="008E3DEC">
        <w:rPr>
          <w:rFonts w:ascii="Verdana" w:eastAsia="Arial Unicode MS" w:hAnsi="Verdana" w:cs="Arial Unicode MS"/>
          <w:sz w:val="20"/>
          <w:lang w:eastAsia="en-GB"/>
        </w:rPr>
        <w:t>engineering</w:t>
      </w:r>
    </w:p>
    <w:p w14:paraId="7CD3F5D1" w14:textId="77777777" w:rsidR="00D34197" w:rsidRPr="008E3DEC" w:rsidRDefault="00D34197" w:rsidP="00F95AA8">
      <w:pPr>
        <w:numPr>
          <w:ilvl w:val="0"/>
          <w:numId w:val="14"/>
        </w:numPr>
        <w:shd w:val="clear" w:color="auto" w:fill="FFFFFF"/>
        <w:spacing w:before="100" w:beforeAutospacing="1" w:after="100" w:afterAutospacing="1" w:line="300" w:lineRule="atLeast"/>
        <w:jc w:val="both"/>
        <w:rPr>
          <w:rFonts w:ascii="Verdana" w:eastAsia="Arial Unicode MS" w:hAnsi="Verdana" w:cs="Arial Unicode MS"/>
          <w:sz w:val="20"/>
          <w:lang w:eastAsia="en-GB"/>
        </w:rPr>
      </w:pPr>
      <w:r w:rsidRPr="008E3DEC">
        <w:rPr>
          <w:rFonts w:ascii="Verdana" w:eastAsia="Arial Unicode MS" w:hAnsi="Verdana" w:cs="Arial Unicode MS"/>
          <w:sz w:val="20"/>
          <w:lang w:eastAsia="en-GB"/>
        </w:rPr>
        <w:t>earth science</w:t>
      </w:r>
    </w:p>
    <w:p w14:paraId="6A8A3FB8" w14:textId="77777777" w:rsidR="00D34197" w:rsidRPr="008E3DEC" w:rsidRDefault="00D34197" w:rsidP="00F95AA8">
      <w:pPr>
        <w:numPr>
          <w:ilvl w:val="0"/>
          <w:numId w:val="14"/>
        </w:numPr>
        <w:shd w:val="clear" w:color="auto" w:fill="FFFFFF"/>
        <w:spacing w:before="100" w:beforeAutospacing="1" w:after="100" w:afterAutospacing="1" w:line="300" w:lineRule="atLeast"/>
        <w:jc w:val="both"/>
        <w:rPr>
          <w:rFonts w:ascii="Verdana" w:eastAsia="Arial Unicode MS" w:hAnsi="Verdana" w:cs="Arial Unicode MS"/>
          <w:sz w:val="20"/>
          <w:lang w:eastAsia="en-GB"/>
        </w:rPr>
      </w:pPr>
      <w:r w:rsidRPr="008E3DEC">
        <w:rPr>
          <w:rFonts w:ascii="Verdana" w:eastAsia="Arial Unicode MS" w:hAnsi="Verdana" w:cs="Arial Unicode MS"/>
          <w:sz w:val="20"/>
          <w:lang w:eastAsia="en-GB"/>
        </w:rPr>
        <w:t>engineering</w:t>
      </w:r>
    </w:p>
    <w:p w14:paraId="54BB6C28" w14:textId="77777777" w:rsidR="00D34197" w:rsidRPr="008E3DEC" w:rsidRDefault="00D34197" w:rsidP="00F95AA8">
      <w:pPr>
        <w:numPr>
          <w:ilvl w:val="0"/>
          <w:numId w:val="14"/>
        </w:numPr>
        <w:shd w:val="clear" w:color="auto" w:fill="FFFFFF"/>
        <w:spacing w:before="100" w:beforeAutospacing="1" w:after="100" w:afterAutospacing="1" w:line="300" w:lineRule="atLeast"/>
        <w:jc w:val="both"/>
        <w:rPr>
          <w:rFonts w:ascii="Verdana" w:eastAsia="Arial Unicode MS" w:hAnsi="Verdana" w:cs="Arial Unicode MS"/>
          <w:sz w:val="20"/>
          <w:lang w:eastAsia="en-GB"/>
        </w:rPr>
      </w:pPr>
      <w:r w:rsidRPr="008E3DEC">
        <w:rPr>
          <w:rFonts w:ascii="Verdana" w:eastAsia="Arial Unicode MS" w:hAnsi="Verdana" w:cs="Arial Unicode MS"/>
          <w:sz w:val="20"/>
          <w:lang w:eastAsia="en-GB"/>
        </w:rPr>
        <w:t>archaeometry</w:t>
      </w:r>
    </w:p>
    <w:p w14:paraId="35310D1A" w14:textId="77777777" w:rsidR="00D34197" w:rsidRPr="008E3DEC" w:rsidRDefault="00D34197" w:rsidP="00F95AA8">
      <w:pPr>
        <w:pStyle w:val="NormalWeb"/>
        <w:shd w:val="clear" w:color="auto" w:fill="FFFFFF"/>
        <w:spacing w:before="0" w:beforeAutospacing="0" w:after="150" w:afterAutospacing="0" w:line="330" w:lineRule="atLeast"/>
        <w:jc w:val="both"/>
        <w:rPr>
          <w:rFonts w:ascii="Verdana" w:eastAsia="Arial Unicode MS" w:hAnsi="Verdana" w:cs="Arial Unicode MS"/>
          <w:sz w:val="20"/>
          <w:szCs w:val="22"/>
        </w:rPr>
      </w:pPr>
      <w:r w:rsidRPr="008E3DEC">
        <w:rPr>
          <w:rFonts w:ascii="Verdana" w:eastAsia="Arial Unicode MS" w:hAnsi="Verdana" w:cs="Arial Unicode MS"/>
          <w:sz w:val="20"/>
          <w:szCs w:val="22"/>
          <w:shd w:val="clear" w:color="auto" w:fill="FFFFFF"/>
        </w:rPr>
        <w:t>Wide-ranging laser applications include experiments in physics, chemistry and biology, accelerating subatomic particles to high energies, probing chemical reactions and studying biochemical and biophysical processes.</w:t>
      </w:r>
    </w:p>
    <w:p w14:paraId="35D07EBB" w14:textId="77777777" w:rsidR="00D34197" w:rsidRPr="008E3DEC" w:rsidRDefault="00D34197" w:rsidP="00F95AA8">
      <w:pPr>
        <w:spacing w:after="0"/>
        <w:jc w:val="both"/>
        <w:rPr>
          <w:rFonts w:ascii="Verdana" w:eastAsia="Arial Unicode MS" w:hAnsi="Verdana" w:cs="Arial Unicode MS"/>
          <w:sz w:val="20"/>
        </w:rPr>
      </w:pPr>
      <w:r w:rsidRPr="008E3DEC">
        <w:rPr>
          <w:rFonts w:ascii="Verdana" w:eastAsia="Arial Unicode MS" w:hAnsi="Verdana" w:cs="Arial Unicode MS"/>
          <w:sz w:val="20"/>
        </w:rPr>
        <w:t>We propose activities in general capacity building to improve country's ability to undertake and disseminate scientific research in order to maximise its impact in ODA relevant research areas. Activity should cover pure and applied science and be multi-disciplinary in nature. Activity may also include improving technical skills in instrumentation and data management. For example, up-skilling students, researchers &amp; managers in a range sciences in country through mobility and partnering schemes with relevant universities and research institutions. This would be delivered through access to ISIS, Diamond and the Central Laser Facility.</w:t>
      </w:r>
    </w:p>
    <w:p w14:paraId="4CAB5BDD" w14:textId="77777777" w:rsidR="008D73F3" w:rsidRPr="008E3DEC" w:rsidRDefault="008D73F3" w:rsidP="00F95AA8">
      <w:pPr>
        <w:jc w:val="both"/>
        <w:rPr>
          <w:rFonts w:ascii="Verdana" w:eastAsia="Arial Unicode MS" w:hAnsi="Verdana" w:cs="Arial Unicode MS"/>
          <w:sz w:val="20"/>
        </w:rPr>
      </w:pPr>
    </w:p>
    <w:p w14:paraId="1ECC9A6B" w14:textId="77777777" w:rsidR="007448D5" w:rsidRPr="008D73F3" w:rsidRDefault="007448D5" w:rsidP="00F95AA8">
      <w:pPr>
        <w:jc w:val="both"/>
        <w:rPr>
          <w:rFonts w:cstheme="minorHAnsi"/>
        </w:rPr>
      </w:pPr>
    </w:p>
    <w:p w14:paraId="602FB2AC" w14:textId="77777777" w:rsidR="00562856" w:rsidRDefault="00562856" w:rsidP="00F95AA8">
      <w:pPr>
        <w:jc w:val="both"/>
        <w:rPr>
          <w:rFonts w:ascii="Verdana" w:hAnsi="Verdana" w:cstheme="minorHAnsi"/>
          <w:b/>
          <w:sz w:val="20"/>
          <w:u w:val="single"/>
        </w:rPr>
      </w:pPr>
      <w:r>
        <w:rPr>
          <w:rFonts w:ascii="Verdana" w:hAnsi="Verdana" w:cstheme="minorHAnsi"/>
          <w:b/>
          <w:sz w:val="20"/>
          <w:u w:val="single"/>
        </w:rPr>
        <w:br w:type="page"/>
      </w:r>
    </w:p>
    <w:p w14:paraId="77CD357A" w14:textId="7D7DDA61" w:rsidR="00A46D4A" w:rsidRPr="008E3DEC" w:rsidRDefault="00A46D4A" w:rsidP="00F95AA8">
      <w:pPr>
        <w:jc w:val="both"/>
        <w:rPr>
          <w:rFonts w:ascii="Verdana" w:hAnsi="Verdana" w:cstheme="minorHAnsi"/>
          <w:b/>
          <w:sz w:val="20"/>
          <w:u w:val="single"/>
        </w:rPr>
      </w:pPr>
      <w:r w:rsidRPr="008E3DEC">
        <w:rPr>
          <w:rFonts w:ascii="Verdana" w:hAnsi="Verdana" w:cstheme="minorHAnsi"/>
          <w:b/>
          <w:sz w:val="20"/>
          <w:u w:val="single"/>
        </w:rPr>
        <w:lastRenderedPageBreak/>
        <w:t>How to apply</w:t>
      </w:r>
    </w:p>
    <w:p w14:paraId="77CD357E" w14:textId="77777777" w:rsidR="00A46D4A" w:rsidRPr="008E3DEC" w:rsidRDefault="003E6BA2" w:rsidP="00F95AA8">
      <w:pPr>
        <w:jc w:val="both"/>
        <w:rPr>
          <w:rFonts w:ascii="Verdana" w:hAnsi="Verdana" w:cstheme="minorHAnsi"/>
          <w:b/>
          <w:bCs/>
          <w:sz w:val="20"/>
        </w:rPr>
      </w:pPr>
      <w:r w:rsidRPr="008E3DEC">
        <w:rPr>
          <w:rFonts w:ascii="Verdana" w:hAnsi="Verdana" w:cstheme="minorHAnsi"/>
          <w:b/>
          <w:bCs/>
          <w:sz w:val="20"/>
        </w:rPr>
        <w:t>Submitting your Proposal</w:t>
      </w:r>
    </w:p>
    <w:p w14:paraId="7BCDED05" w14:textId="01AC25C1" w:rsidR="004A521B" w:rsidRPr="00F95AA8" w:rsidRDefault="00A46D4A" w:rsidP="00F95AA8">
      <w:pPr>
        <w:jc w:val="both"/>
        <w:rPr>
          <w:rFonts w:ascii="Verdana" w:hAnsi="Verdana" w:cstheme="minorHAnsi"/>
          <w:sz w:val="20"/>
          <w:szCs w:val="20"/>
        </w:rPr>
      </w:pPr>
      <w:r w:rsidRPr="00F95AA8">
        <w:rPr>
          <w:rFonts w:ascii="Verdana" w:hAnsi="Verdana" w:cstheme="minorHAnsi"/>
          <w:sz w:val="20"/>
          <w:szCs w:val="20"/>
        </w:rPr>
        <w:t>This RCUK</w:t>
      </w:r>
      <w:r w:rsidR="004A521B" w:rsidRPr="00F95AA8">
        <w:rPr>
          <w:rFonts w:ascii="Verdana" w:hAnsi="Verdana"/>
          <w:sz w:val="20"/>
          <w:szCs w:val="20"/>
        </w:rPr>
        <w:t xml:space="preserve"> </w:t>
      </w:r>
      <w:r w:rsidR="007672BF" w:rsidRPr="00F95AA8">
        <w:rPr>
          <w:rFonts w:ascii="Verdana" w:hAnsi="Verdana"/>
          <w:sz w:val="20"/>
          <w:szCs w:val="20"/>
        </w:rPr>
        <w:t>–</w:t>
      </w:r>
      <w:r w:rsidR="004A521B" w:rsidRPr="00F95AA8">
        <w:rPr>
          <w:rFonts w:ascii="Verdana" w:hAnsi="Verdana"/>
          <w:sz w:val="20"/>
          <w:szCs w:val="20"/>
        </w:rPr>
        <w:t xml:space="preserve"> </w:t>
      </w:r>
      <w:r w:rsidR="00C77003" w:rsidRPr="00F95AA8">
        <w:rPr>
          <w:rFonts w:ascii="Verdana" w:hAnsi="Verdana" w:cstheme="minorHAnsi"/>
          <w:sz w:val="20"/>
          <w:szCs w:val="20"/>
        </w:rPr>
        <w:t>DIPI</w:t>
      </w:r>
      <w:r w:rsidR="007672BF" w:rsidRPr="00F95AA8">
        <w:rPr>
          <w:rFonts w:ascii="Verdana" w:hAnsi="Verdana" w:cstheme="minorHAnsi"/>
          <w:sz w:val="20"/>
          <w:szCs w:val="20"/>
        </w:rPr>
        <w:t xml:space="preserve"> –</w:t>
      </w:r>
      <w:r w:rsidR="004A521B" w:rsidRPr="00F95AA8">
        <w:rPr>
          <w:rFonts w:ascii="Verdana" w:hAnsi="Verdana" w:cstheme="minorHAnsi"/>
          <w:sz w:val="20"/>
          <w:szCs w:val="20"/>
        </w:rPr>
        <w:t xml:space="preserve"> Ristekdikti</w:t>
      </w:r>
      <w:r w:rsidR="007672BF" w:rsidRPr="00F95AA8">
        <w:rPr>
          <w:rFonts w:ascii="Verdana" w:hAnsi="Verdana" w:cstheme="minorHAnsi"/>
          <w:sz w:val="20"/>
          <w:szCs w:val="20"/>
        </w:rPr>
        <w:t xml:space="preserve"> –</w:t>
      </w:r>
      <w:r w:rsidR="004A521B" w:rsidRPr="00F95AA8">
        <w:rPr>
          <w:rFonts w:ascii="Verdana" w:hAnsi="Verdana" w:cstheme="minorHAnsi"/>
          <w:sz w:val="20"/>
          <w:szCs w:val="20"/>
        </w:rPr>
        <w:t xml:space="preserve"> MoHE</w:t>
      </w:r>
      <w:r w:rsidR="007672BF" w:rsidRPr="00F95AA8">
        <w:rPr>
          <w:rFonts w:ascii="Verdana" w:hAnsi="Verdana" w:cstheme="minorHAnsi"/>
          <w:sz w:val="20"/>
          <w:szCs w:val="20"/>
        </w:rPr>
        <w:t xml:space="preserve"> –</w:t>
      </w:r>
      <w:r w:rsidR="004A521B" w:rsidRPr="00F95AA8">
        <w:rPr>
          <w:rFonts w:ascii="Verdana" w:hAnsi="Verdana" w:cstheme="minorHAnsi"/>
          <w:sz w:val="20"/>
          <w:szCs w:val="20"/>
        </w:rPr>
        <w:t xml:space="preserve"> DOST</w:t>
      </w:r>
      <w:r w:rsidR="007672BF" w:rsidRPr="00F95AA8">
        <w:rPr>
          <w:rFonts w:ascii="Verdana" w:hAnsi="Verdana" w:cstheme="minorHAnsi"/>
          <w:sz w:val="20"/>
          <w:szCs w:val="20"/>
        </w:rPr>
        <w:t xml:space="preserve"> </w:t>
      </w:r>
      <w:r w:rsidR="004A521B" w:rsidRPr="00F95AA8">
        <w:rPr>
          <w:rFonts w:ascii="Verdana" w:hAnsi="Verdana" w:cstheme="minorHAnsi"/>
          <w:sz w:val="20"/>
          <w:szCs w:val="20"/>
        </w:rPr>
        <w:t xml:space="preserve">- TRF </w:t>
      </w:r>
      <w:r w:rsidRPr="00F95AA8">
        <w:rPr>
          <w:rFonts w:ascii="Verdana" w:hAnsi="Verdana" w:cstheme="minorHAnsi"/>
          <w:sz w:val="20"/>
          <w:szCs w:val="20"/>
        </w:rPr>
        <w:t xml:space="preserve">call will be managed through RCUK systems and hosted by </w:t>
      </w:r>
      <w:r w:rsidR="008E3DEC" w:rsidRPr="00F95AA8">
        <w:rPr>
          <w:rFonts w:ascii="Verdana" w:hAnsi="Verdana" w:cstheme="minorHAnsi"/>
          <w:sz w:val="20"/>
          <w:szCs w:val="20"/>
        </w:rPr>
        <w:t>EPSRC</w:t>
      </w:r>
      <w:r w:rsidR="005E4A10" w:rsidRPr="00F95AA8">
        <w:rPr>
          <w:rFonts w:ascii="Verdana" w:hAnsi="Verdana" w:cstheme="minorHAnsi"/>
          <w:sz w:val="20"/>
          <w:szCs w:val="20"/>
        </w:rPr>
        <w:t xml:space="preserve"> </w:t>
      </w:r>
      <w:r w:rsidRPr="00F95AA8">
        <w:rPr>
          <w:rFonts w:ascii="Verdana" w:hAnsi="Verdana" w:cstheme="minorHAnsi"/>
          <w:sz w:val="20"/>
          <w:szCs w:val="20"/>
        </w:rPr>
        <w:t>on behalf of all seven res</w:t>
      </w:r>
      <w:r w:rsidR="007E7840" w:rsidRPr="00F95AA8">
        <w:rPr>
          <w:rFonts w:ascii="Verdana" w:hAnsi="Verdana" w:cstheme="minorHAnsi"/>
          <w:sz w:val="20"/>
          <w:szCs w:val="20"/>
        </w:rPr>
        <w:t xml:space="preserve">earch councils, </w:t>
      </w:r>
      <w:r w:rsidR="00C77003" w:rsidRPr="00F95AA8">
        <w:rPr>
          <w:rFonts w:ascii="Verdana" w:hAnsi="Verdana" w:cstheme="minorHAnsi"/>
          <w:sz w:val="20"/>
          <w:szCs w:val="20"/>
        </w:rPr>
        <w:t>DIPI</w:t>
      </w:r>
      <w:r w:rsidR="004A521B" w:rsidRPr="00F95AA8">
        <w:rPr>
          <w:rFonts w:ascii="Verdana" w:hAnsi="Verdana" w:cstheme="minorHAnsi"/>
          <w:sz w:val="20"/>
          <w:szCs w:val="20"/>
        </w:rPr>
        <w:t xml:space="preserve">, Ristekdikti, MoHE, DOST, </w:t>
      </w:r>
      <w:r w:rsidR="00552D4C" w:rsidRPr="00F95AA8">
        <w:rPr>
          <w:rFonts w:ascii="Verdana" w:hAnsi="Verdana" w:cstheme="minorHAnsi"/>
          <w:sz w:val="20"/>
          <w:szCs w:val="20"/>
        </w:rPr>
        <w:t xml:space="preserve">and </w:t>
      </w:r>
      <w:r w:rsidR="004A521B" w:rsidRPr="00F95AA8">
        <w:rPr>
          <w:rFonts w:ascii="Verdana" w:hAnsi="Verdana" w:cstheme="minorHAnsi"/>
          <w:sz w:val="20"/>
          <w:szCs w:val="20"/>
        </w:rPr>
        <w:t>TRF.</w:t>
      </w:r>
    </w:p>
    <w:p w14:paraId="77CD3580" w14:textId="5C93118C" w:rsidR="00A46D4A" w:rsidRPr="00F95AA8" w:rsidRDefault="00A46D4A" w:rsidP="00F95AA8">
      <w:pPr>
        <w:jc w:val="both"/>
        <w:rPr>
          <w:rFonts w:ascii="Verdana" w:hAnsi="Verdana" w:cstheme="minorHAnsi"/>
          <w:sz w:val="20"/>
          <w:szCs w:val="20"/>
        </w:rPr>
      </w:pPr>
      <w:r w:rsidRPr="00F95AA8">
        <w:rPr>
          <w:rFonts w:ascii="Verdana" w:hAnsi="Verdana" w:cstheme="minorHAnsi"/>
          <w:sz w:val="20"/>
          <w:szCs w:val="20"/>
        </w:rPr>
        <w:t xml:space="preserve">The full deadline </w:t>
      </w:r>
      <w:r w:rsidR="008D6973" w:rsidRPr="00F95AA8">
        <w:rPr>
          <w:rFonts w:ascii="Verdana" w:hAnsi="Verdana" w:cstheme="minorHAnsi"/>
          <w:sz w:val="20"/>
          <w:szCs w:val="20"/>
        </w:rPr>
        <w:t>is</w:t>
      </w:r>
      <w:r w:rsidRPr="00F95AA8">
        <w:rPr>
          <w:rFonts w:ascii="Verdana" w:hAnsi="Verdana" w:cstheme="minorHAnsi"/>
          <w:sz w:val="20"/>
          <w:szCs w:val="20"/>
        </w:rPr>
        <w:t xml:space="preserve"> </w:t>
      </w:r>
      <w:r w:rsidR="004A521B" w:rsidRPr="00F95AA8">
        <w:rPr>
          <w:rFonts w:ascii="Verdana" w:hAnsi="Verdana" w:cstheme="minorHAnsi"/>
          <w:b/>
          <w:sz w:val="20"/>
          <w:szCs w:val="20"/>
          <w:lang w:val="en"/>
        </w:rPr>
        <w:t>16:00 BST</w:t>
      </w:r>
      <w:r w:rsidR="007228A3" w:rsidRPr="00F95AA8">
        <w:rPr>
          <w:rFonts w:ascii="Verdana" w:hAnsi="Verdana" w:cstheme="minorHAnsi"/>
          <w:b/>
          <w:sz w:val="20"/>
          <w:szCs w:val="20"/>
          <w:lang w:val="en"/>
        </w:rPr>
        <w:t xml:space="preserve"> </w:t>
      </w:r>
      <w:r w:rsidR="004A521B" w:rsidRPr="00F95AA8">
        <w:rPr>
          <w:rFonts w:ascii="Verdana" w:hAnsi="Verdana" w:cstheme="minorHAnsi"/>
          <w:b/>
          <w:sz w:val="20"/>
          <w:szCs w:val="20"/>
          <w:lang w:val="en"/>
        </w:rPr>
        <w:t>(22:00 WIB, 22:00 ICT, 23:00 MYT, 23:00 PHT</w:t>
      </w:r>
      <w:r w:rsidR="00060931" w:rsidRPr="00F95AA8">
        <w:rPr>
          <w:rFonts w:ascii="Verdana" w:hAnsi="Verdana" w:cstheme="minorHAnsi"/>
          <w:b/>
          <w:sz w:val="20"/>
          <w:szCs w:val="20"/>
          <w:lang w:val="en"/>
        </w:rPr>
        <w:t>) 02</w:t>
      </w:r>
      <w:r w:rsidR="004A521B" w:rsidRPr="00F95AA8">
        <w:rPr>
          <w:rFonts w:ascii="Verdana" w:hAnsi="Verdana" w:cstheme="minorHAnsi"/>
          <w:b/>
          <w:sz w:val="20"/>
          <w:szCs w:val="20"/>
          <w:lang w:val="en"/>
        </w:rPr>
        <w:t xml:space="preserve"> </w:t>
      </w:r>
      <w:r w:rsidR="000C3DB5" w:rsidRPr="00F95AA8">
        <w:rPr>
          <w:rFonts w:ascii="Verdana" w:hAnsi="Verdana" w:cstheme="minorHAnsi"/>
          <w:b/>
          <w:sz w:val="20"/>
          <w:szCs w:val="20"/>
          <w:lang w:val="en"/>
        </w:rPr>
        <w:t>August</w:t>
      </w:r>
      <w:r w:rsidR="004A521B" w:rsidRPr="00F95AA8">
        <w:rPr>
          <w:rFonts w:ascii="Verdana" w:hAnsi="Verdana" w:cstheme="minorHAnsi"/>
          <w:b/>
          <w:sz w:val="20"/>
          <w:szCs w:val="20"/>
          <w:lang w:val="en"/>
        </w:rPr>
        <w:t xml:space="preserve"> 2016</w:t>
      </w:r>
      <w:r w:rsidRPr="00F95AA8">
        <w:rPr>
          <w:rFonts w:ascii="Verdana" w:hAnsi="Verdana" w:cstheme="minorHAnsi"/>
          <w:sz w:val="20"/>
          <w:szCs w:val="20"/>
        </w:rPr>
        <w:t xml:space="preserve">. Any proposal received after this deadline </w:t>
      </w:r>
      <w:r w:rsidRPr="00F95AA8">
        <w:rPr>
          <w:rFonts w:ascii="Verdana" w:hAnsi="Verdana" w:cstheme="minorHAnsi"/>
          <w:b/>
          <w:sz w:val="20"/>
          <w:szCs w:val="20"/>
        </w:rPr>
        <w:t>will not</w:t>
      </w:r>
      <w:r w:rsidRPr="00F95AA8">
        <w:rPr>
          <w:rFonts w:ascii="Verdana" w:hAnsi="Verdana" w:cstheme="minorHAnsi"/>
          <w:sz w:val="20"/>
          <w:szCs w:val="20"/>
        </w:rPr>
        <w:t xml:space="preserve"> be considered for funding.</w:t>
      </w:r>
    </w:p>
    <w:p w14:paraId="77CD3582" w14:textId="71D64DE2" w:rsidR="006D5636" w:rsidRPr="00F95AA8" w:rsidRDefault="00A46D4A" w:rsidP="00F95AA8">
      <w:pPr>
        <w:pStyle w:val="NormalWeb"/>
        <w:spacing w:line="276" w:lineRule="auto"/>
        <w:jc w:val="both"/>
        <w:rPr>
          <w:rFonts w:ascii="Verdana" w:hAnsi="Verdana" w:cstheme="minorHAnsi"/>
          <w:color w:val="000000"/>
          <w:sz w:val="20"/>
          <w:szCs w:val="20"/>
        </w:rPr>
      </w:pPr>
      <w:r w:rsidRPr="00F95AA8">
        <w:rPr>
          <w:rFonts w:ascii="Verdana" w:hAnsi="Verdana" w:cstheme="minorHAnsi"/>
          <w:color w:val="000000"/>
          <w:sz w:val="20"/>
          <w:szCs w:val="20"/>
        </w:rPr>
        <w:t xml:space="preserve">Researchers will be responsible for developing their own collaborations. Once a research proposal is developed, UK </w:t>
      </w:r>
      <w:r w:rsidRPr="00F95AA8">
        <w:rPr>
          <w:rFonts w:ascii="Verdana" w:hAnsi="Verdana" w:cstheme="minorHAnsi"/>
          <w:sz w:val="20"/>
          <w:szCs w:val="20"/>
        </w:rPr>
        <w:t xml:space="preserve">and </w:t>
      </w:r>
      <w:r w:rsidR="009311E2" w:rsidRPr="00F95AA8">
        <w:rPr>
          <w:rFonts w:ascii="Verdana" w:hAnsi="Verdana" w:cstheme="minorHAnsi"/>
          <w:sz w:val="20"/>
          <w:szCs w:val="20"/>
        </w:rPr>
        <w:t>Southeast</w:t>
      </w:r>
      <w:r w:rsidR="007E7840" w:rsidRPr="00F95AA8">
        <w:rPr>
          <w:rFonts w:ascii="Verdana" w:hAnsi="Verdana" w:cstheme="minorHAnsi"/>
          <w:sz w:val="20"/>
          <w:szCs w:val="20"/>
        </w:rPr>
        <w:t xml:space="preserve"> Asian</w:t>
      </w:r>
      <w:r w:rsidRPr="00F95AA8">
        <w:rPr>
          <w:rFonts w:ascii="Verdana" w:hAnsi="Verdana" w:cstheme="minorHAnsi"/>
          <w:sz w:val="20"/>
          <w:szCs w:val="20"/>
        </w:rPr>
        <w:t xml:space="preserve"> applicants </w:t>
      </w:r>
      <w:r w:rsidRPr="00F95AA8">
        <w:rPr>
          <w:rFonts w:ascii="Verdana" w:hAnsi="Verdana" w:cstheme="minorHAnsi"/>
          <w:color w:val="000000"/>
          <w:sz w:val="20"/>
          <w:szCs w:val="20"/>
        </w:rPr>
        <w:t xml:space="preserve">must apply jointly for funding to the </w:t>
      </w:r>
      <w:r w:rsidR="008E3DEC" w:rsidRPr="00F95AA8">
        <w:rPr>
          <w:rFonts w:ascii="Verdana" w:hAnsi="Verdana" w:cstheme="minorHAnsi"/>
          <w:color w:val="000000"/>
          <w:sz w:val="20"/>
          <w:szCs w:val="20"/>
        </w:rPr>
        <w:t>RCUK -SEA Newton Small Scale Partnership Call 2016</w:t>
      </w:r>
      <w:r w:rsidRPr="00F95AA8">
        <w:rPr>
          <w:rFonts w:ascii="Verdana" w:hAnsi="Verdana" w:cstheme="minorHAnsi"/>
          <w:color w:val="000000"/>
          <w:sz w:val="20"/>
          <w:szCs w:val="20"/>
        </w:rPr>
        <w:t xml:space="preserve">, via the </w:t>
      </w:r>
      <w:r w:rsidR="007E7840" w:rsidRPr="00F95AA8">
        <w:rPr>
          <w:rFonts w:ascii="Verdana" w:hAnsi="Verdana" w:cstheme="minorHAnsi"/>
          <w:sz w:val="20"/>
          <w:szCs w:val="20"/>
        </w:rPr>
        <w:t>EPSRC</w:t>
      </w:r>
      <w:r w:rsidRPr="00F95AA8">
        <w:rPr>
          <w:rFonts w:ascii="Verdana" w:hAnsi="Verdana" w:cstheme="minorHAnsi"/>
          <w:sz w:val="20"/>
          <w:szCs w:val="20"/>
        </w:rPr>
        <w:t xml:space="preserve"> Je</w:t>
      </w:r>
      <w:r w:rsidRPr="00F95AA8">
        <w:rPr>
          <w:rFonts w:ascii="Verdana" w:hAnsi="Verdana" w:cstheme="minorHAnsi"/>
          <w:color w:val="000000"/>
          <w:sz w:val="20"/>
          <w:szCs w:val="20"/>
        </w:rPr>
        <w:t>-S online application system (</w:t>
      </w:r>
      <w:hyperlink r:id="rId23" w:history="1">
        <w:r w:rsidRPr="00F95AA8">
          <w:rPr>
            <w:rStyle w:val="Hyperlink"/>
            <w:rFonts w:ascii="Verdana" w:hAnsi="Verdana" w:cstheme="minorHAnsi"/>
            <w:color w:val="0070C0"/>
            <w:sz w:val="20"/>
            <w:szCs w:val="20"/>
            <w:u w:val="single"/>
          </w:rPr>
          <w:t>https://je-s.rcuk.ac.uk</w:t>
        </w:r>
      </w:hyperlink>
      <w:r w:rsidRPr="00F95AA8">
        <w:rPr>
          <w:rFonts w:ascii="Verdana" w:hAnsi="Verdana" w:cstheme="minorHAnsi"/>
          <w:color w:val="000000"/>
          <w:sz w:val="20"/>
          <w:szCs w:val="20"/>
        </w:rPr>
        <w:t>). Applications must be submitted by the UK Principal Investigator on behalf of the U</w:t>
      </w:r>
      <w:r w:rsidRPr="00F95AA8">
        <w:rPr>
          <w:rFonts w:ascii="Verdana" w:hAnsi="Verdana" w:cstheme="minorHAnsi"/>
          <w:sz w:val="20"/>
          <w:szCs w:val="20"/>
        </w:rPr>
        <w:t>K-</w:t>
      </w:r>
      <w:r w:rsidR="009311E2" w:rsidRPr="00F95AA8">
        <w:rPr>
          <w:rFonts w:ascii="Verdana" w:hAnsi="Verdana" w:cstheme="minorHAnsi"/>
          <w:sz w:val="20"/>
          <w:szCs w:val="20"/>
        </w:rPr>
        <w:t>Southeast</w:t>
      </w:r>
      <w:r w:rsidR="007E7840" w:rsidRPr="00F95AA8">
        <w:rPr>
          <w:rFonts w:ascii="Verdana" w:hAnsi="Verdana" w:cstheme="minorHAnsi"/>
          <w:sz w:val="20"/>
          <w:szCs w:val="20"/>
        </w:rPr>
        <w:t xml:space="preserve"> Asia Small Scale P</w:t>
      </w:r>
      <w:r w:rsidRPr="00F95AA8">
        <w:rPr>
          <w:rFonts w:ascii="Verdana" w:hAnsi="Verdana" w:cstheme="minorHAnsi"/>
          <w:sz w:val="20"/>
          <w:szCs w:val="20"/>
        </w:rPr>
        <w:t>artnership</w:t>
      </w:r>
      <w:r w:rsidRPr="00F95AA8">
        <w:rPr>
          <w:rFonts w:ascii="Verdana" w:hAnsi="Verdana" w:cstheme="minorHAnsi"/>
          <w:color w:val="000000"/>
          <w:sz w:val="20"/>
          <w:szCs w:val="20"/>
        </w:rPr>
        <w:t>. The application must be JOINTLY prepared and submitted in English. Once received, RCUK w</w:t>
      </w:r>
      <w:r w:rsidR="007E7840" w:rsidRPr="00F95AA8">
        <w:rPr>
          <w:rFonts w:ascii="Verdana" w:hAnsi="Verdana" w:cstheme="minorHAnsi"/>
          <w:color w:val="000000"/>
          <w:sz w:val="20"/>
          <w:szCs w:val="20"/>
        </w:rPr>
        <w:t xml:space="preserve">ill share the applications </w:t>
      </w:r>
      <w:r w:rsidR="00C77003" w:rsidRPr="00F95AA8">
        <w:rPr>
          <w:rFonts w:ascii="Verdana" w:hAnsi="Verdana" w:cstheme="minorHAnsi"/>
          <w:color w:val="000000"/>
          <w:sz w:val="20"/>
          <w:szCs w:val="20"/>
        </w:rPr>
        <w:t>DIPI</w:t>
      </w:r>
      <w:r w:rsidR="008E3DEC" w:rsidRPr="00F95AA8">
        <w:rPr>
          <w:rFonts w:ascii="Verdana" w:hAnsi="Verdana" w:cstheme="minorHAnsi"/>
          <w:color w:val="000000"/>
          <w:sz w:val="20"/>
          <w:szCs w:val="20"/>
        </w:rPr>
        <w:t xml:space="preserve">, </w:t>
      </w:r>
      <w:r w:rsidR="007E7840" w:rsidRPr="00F95AA8">
        <w:rPr>
          <w:rFonts w:ascii="Verdana" w:hAnsi="Verdana" w:cstheme="minorHAnsi"/>
          <w:color w:val="000000"/>
          <w:sz w:val="20"/>
          <w:szCs w:val="20"/>
        </w:rPr>
        <w:t>Ristekdikti, MoHE, DOST</w:t>
      </w:r>
      <w:r w:rsidR="008E3DEC" w:rsidRPr="00F95AA8">
        <w:rPr>
          <w:rFonts w:ascii="Verdana" w:hAnsi="Verdana" w:cstheme="minorHAnsi"/>
          <w:color w:val="000000"/>
          <w:sz w:val="20"/>
          <w:szCs w:val="20"/>
        </w:rPr>
        <w:t>,</w:t>
      </w:r>
      <w:r w:rsidR="007E7840" w:rsidRPr="00F95AA8">
        <w:rPr>
          <w:rFonts w:ascii="Verdana" w:hAnsi="Verdana" w:cstheme="minorHAnsi"/>
          <w:color w:val="000000"/>
          <w:sz w:val="20"/>
          <w:szCs w:val="20"/>
        </w:rPr>
        <w:t xml:space="preserve"> </w:t>
      </w:r>
      <w:r w:rsidR="00552D4C" w:rsidRPr="00F95AA8">
        <w:rPr>
          <w:rFonts w:ascii="Verdana" w:hAnsi="Verdana" w:cstheme="minorHAnsi"/>
          <w:color w:val="000000"/>
          <w:sz w:val="20"/>
          <w:szCs w:val="20"/>
        </w:rPr>
        <w:t xml:space="preserve">and </w:t>
      </w:r>
      <w:r w:rsidR="007E7840" w:rsidRPr="00F95AA8">
        <w:rPr>
          <w:rFonts w:ascii="Verdana" w:hAnsi="Verdana" w:cstheme="minorHAnsi"/>
          <w:color w:val="000000"/>
          <w:sz w:val="20"/>
          <w:szCs w:val="20"/>
        </w:rPr>
        <w:t>TRF</w:t>
      </w:r>
      <w:r w:rsidR="008E3DEC" w:rsidRPr="00F95AA8">
        <w:rPr>
          <w:rFonts w:ascii="Verdana" w:hAnsi="Verdana" w:cstheme="minorHAnsi"/>
          <w:color w:val="000000"/>
          <w:sz w:val="20"/>
          <w:szCs w:val="20"/>
        </w:rPr>
        <w:t>.</w:t>
      </w:r>
    </w:p>
    <w:p w14:paraId="77CD3583" w14:textId="77777777" w:rsidR="00195DA3" w:rsidRPr="00F95AA8" w:rsidRDefault="00195DA3" w:rsidP="00F95AA8">
      <w:pPr>
        <w:pStyle w:val="NormalWeb"/>
        <w:jc w:val="both"/>
        <w:rPr>
          <w:rFonts w:ascii="Verdana" w:hAnsi="Verdana" w:cstheme="minorHAnsi"/>
          <w:color w:val="000000"/>
          <w:sz w:val="20"/>
          <w:szCs w:val="20"/>
        </w:rPr>
      </w:pPr>
      <w:r w:rsidRPr="00F95AA8">
        <w:rPr>
          <w:rFonts w:ascii="Verdana" w:hAnsi="Verdana" w:cstheme="minorHAnsi"/>
          <w:color w:val="000000"/>
          <w:sz w:val="20"/>
          <w:szCs w:val="20"/>
        </w:rPr>
        <w:t xml:space="preserve">The following documents must be included in the joint application. </w:t>
      </w:r>
    </w:p>
    <w:p w14:paraId="77CD3584" w14:textId="77777777" w:rsidR="00D279F4" w:rsidRPr="00F95AA8" w:rsidRDefault="00D279F4" w:rsidP="00F95AA8">
      <w:pPr>
        <w:pStyle w:val="ListParagraph"/>
        <w:numPr>
          <w:ilvl w:val="0"/>
          <w:numId w:val="11"/>
        </w:numPr>
        <w:jc w:val="both"/>
        <w:rPr>
          <w:rFonts w:ascii="Verdana" w:hAnsi="Verdana" w:cstheme="minorHAnsi"/>
          <w:sz w:val="20"/>
          <w:szCs w:val="20"/>
        </w:rPr>
      </w:pPr>
      <w:r w:rsidRPr="00F95AA8">
        <w:rPr>
          <w:rFonts w:ascii="Verdana" w:hAnsi="Verdana" w:cstheme="minorHAnsi"/>
          <w:sz w:val="20"/>
          <w:szCs w:val="20"/>
        </w:rPr>
        <w:t xml:space="preserve">Joint Case for Support </w:t>
      </w:r>
    </w:p>
    <w:p w14:paraId="77CD3585" w14:textId="7B5BFAD5" w:rsidR="00D279F4" w:rsidRPr="00F95AA8" w:rsidRDefault="00D279F4" w:rsidP="00F95AA8">
      <w:pPr>
        <w:pStyle w:val="ListParagraph"/>
        <w:numPr>
          <w:ilvl w:val="0"/>
          <w:numId w:val="11"/>
        </w:numPr>
        <w:jc w:val="both"/>
        <w:rPr>
          <w:rFonts w:ascii="Verdana" w:hAnsi="Verdana" w:cstheme="minorHAnsi"/>
          <w:sz w:val="20"/>
          <w:szCs w:val="20"/>
        </w:rPr>
      </w:pPr>
      <w:r w:rsidRPr="00F95AA8">
        <w:rPr>
          <w:rFonts w:ascii="Verdana" w:hAnsi="Verdana" w:cstheme="minorHAnsi"/>
          <w:sz w:val="20"/>
          <w:szCs w:val="20"/>
        </w:rPr>
        <w:t xml:space="preserve">Justification of Resources  (including both UK and </w:t>
      </w:r>
      <w:r w:rsidR="00D050ED" w:rsidRPr="00F95AA8">
        <w:rPr>
          <w:rFonts w:ascii="Verdana" w:hAnsi="Verdana" w:cstheme="minorHAnsi"/>
          <w:sz w:val="20"/>
          <w:szCs w:val="20"/>
        </w:rPr>
        <w:t>Indonesian/Malaysian/</w:t>
      </w:r>
      <w:r w:rsidR="007B5796" w:rsidRPr="00F95AA8">
        <w:rPr>
          <w:rFonts w:ascii="Verdana" w:hAnsi="Verdana" w:cstheme="minorHAnsi"/>
          <w:sz w:val="20"/>
          <w:szCs w:val="20"/>
        </w:rPr>
        <w:t xml:space="preserve"> Filipino/ Thai </w:t>
      </w:r>
      <w:r w:rsidRPr="00F95AA8">
        <w:rPr>
          <w:rFonts w:ascii="Verdana" w:hAnsi="Verdana" w:cstheme="minorHAnsi"/>
          <w:sz w:val="20"/>
          <w:szCs w:val="20"/>
        </w:rPr>
        <w:t>justification)</w:t>
      </w:r>
    </w:p>
    <w:p w14:paraId="77CD3588" w14:textId="237E7F7A" w:rsidR="00D279F4" w:rsidRPr="00F95AA8" w:rsidRDefault="00D050ED" w:rsidP="00F95AA8">
      <w:pPr>
        <w:pStyle w:val="ListParagraph"/>
        <w:numPr>
          <w:ilvl w:val="0"/>
          <w:numId w:val="11"/>
        </w:numPr>
        <w:jc w:val="both"/>
        <w:rPr>
          <w:rFonts w:ascii="Verdana" w:hAnsi="Verdana" w:cstheme="minorHAnsi"/>
          <w:sz w:val="20"/>
          <w:szCs w:val="20"/>
        </w:rPr>
      </w:pPr>
      <w:r w:rsidRPr="00F95AA8">
        <w:rPr>
          <w:rFonts w:ascii="Verdana" w:hAnsi="Verdana" w:cstheme="minorHAnsi"/>
          <w:sz w:val="20"/>
          <w:szCs w:val="20"/>
        </w:rPr>
        <w:t>Indonesian/ Malaysian/</w:t>
      </w:r>
      <w:r w:rsidR="007B5796" w:rsidRPr="00F95AA8">
        <w:rPr>
          <w:rFonts w:ascii="Verdana" w:hAnsi="Verdana" w:cstheme="minorHAnsi"/>
          <w:sz w:val="20"/>
          <w:szCs w:val="20"/>
        </w:rPr>
        <w:t xml:space="preserve"> Filipino/ Thai </w:t>
      </w:r>
      <w:r w:rsidR="00D279F4" w:rsidRPr="00F95AA8">
        <w:rPr>
          <w:rFonts w:ascii="Verdana" w:hAnsi="Verdana" w:cstheme="minorHAnsi"/>
          <w:sz w:val="20"/>
          <w:szCs w:val="20"/>
        </w:rPr>
        <w:t>costs proforma</w:t>
      </w:r>
      <w:r w:rsidR="00737130" w:rsidRPr="00F95AA8">
        <w:rPr>
          <w:rFonts w:ascii="Verdana" w:hAnsi="Verdana" w:cstheme="minorHAnsi"/>
          <w:sz w:val="20"/>
          <w:szCs w:val="20"/>
        </w:rPr>
        <w:t xml:space="preserve"> (please ensure you complete the relevant form</w:t>
      </w:r>
      <w:r w:rsidR="007B5796" w:rsidRPr="00F95AA8">
        <w:rPr>
          <w:rFonts w:ascii="Verdana" w:hAnsi="Verdana" w:cstheme="minorHAnsi"/>
          <w:sz w:val="20"/>
          <w:szCs w:val="20"/>
        </w:rPr>
        <w:t>/s</w:t>
      </w:r>
      <w:r w:rsidR="00737130" w:rsidRPr="00F95AA8">
        <w:rPr>
          <w:rFonts w:ascii="Verdana" w:hAnsi="Verdana" w:cstheme="minorHAnsi"/>
          <w:sz w:val="20"/>
          <w:szCs w:val="20"/>
        </w:rPr>
        <w:t xml:space="preserve"> to the Country</w:t>
      </w:r>
      <w:r w:rsidR="007B5796" w:rsidRPr="00F95AA8">
        <w:rPr>
          <w:rFonts w:ascii="Verdana" w:hAnsi="Verdana" w:cstheme="minorHAnsi"/>
          <w:sz w:val="20"/>
          <w:szCs w:val="20"/>
        </w:rPr>
        <w:t>/ies</w:t>
      </w:r>
      <w:r w:rsidR="00737130" w:rsidRPr="00F95AA8">
        <w:rPr>
          <w:rFonts w:ascii="Verdana" w:hAnsi="Verdana" w:cstheme="minorHAnsi"/>
          <w:sz w:val="20"/>
          <w:szCs w:val="20"/>
        </w:rPr>
        <w:t xml:space="preserve"> </w:t>
      </w:r>
      <w:r w:rsidR="007B5796" w:rsidRPr="00F95AA8">
        <w:rPr>
          <w:rFonts w:ascii="Verdana" w:hAnsi="Verdana" w:cstheme="minorHAnsi"/>
          <w:sz w:val="20"/>
          <w:szCs w:val="20"/>
        </w:rPr>
        <w:t>you are applying for funding from)</w:t>
      </w:r>
    </w:p>
    <w:p w14:paraId="77CD3589" w14:textId="77777777" w:rsidR="00D279F4" w:rsidRPr="00F95AA8" w:rsidRDefault="00D279F4" w:rsidP="00F95AA8">
      <w:pPr>
        <w:pStyle w:val="ListParagraph"/>
        <w:numPr>
          <w:ilvl w:val="0"/>
          <w:numId w:val="11"/>
        </w:numPr>
        <w:jc w:val="both"/>
        <w:rPr>
          <w:rFonts w:ascii="Verdana" w:hAnsi="Verdana" w:cstheme="minorHAnsi"/>
          <w:sz w:val="20"/>
          <w:szCs w:val="20"/>
        </w:rPr>
      </w:pPr>
      <w:r w:rsidRPr="00F95AA8">
        <w:rPr>
          <w:rFonts w:ascii="Verdana" w:hAnsi="Verdana" w:cstheme="minorHAnsi"/>
          <w:sz w:val="20"/>
          <w:szCs w:val="20"/>
        </w:rPr>
        <w:t xml:space="preserve">CVs and publications  </w:t>
      </w:r>
    </w:p>
    <w:p w14:paraId="77CD358A" w14:textId="77777777" w:rsidR="00D279F4" w:rsidRPr="00F95AA8" w:rsidRDefault="00D279F4" w:rsidP="00F95AA8">
      <w:pPr>
        <w:pStyle w:val="ListParagraph"/>
        <w:numPr>
          <w:ilvl w:val="0"/>
          <w:numId w:val="11"/>
        </w:numPr>
        <w:jc w:val="both"/>
        <w:rPr>
          <w:rFonts w:ascii="Verdana" w:hAnsi="Verdana" w:cstheme="minorHAnsi"/>
          <w:sz w:val="20"/>
          <w:szCs w:val="20"/>
        </w:rPr>
      </w:pPr>
      <w:r w:rsidRPr="00F95AA8">
        <w:rPr>
          <w:rFonts w:ascii="Verdana" w:hAnsi="Verdana" w:cstheme="minorHAnsi"/>
          <w:sz w:val="20"/>
          <w:szCs w:val="20"/>
        </w:rPr>
        <w:t xml:space="preserve">Letters of support </w:t>
      </w:r>
    </w:p>
    <w:p w14:paraId="0B249665" w14:textId="13BEFBD9" w:rsidR="007550E7" w:rsidRPr="00F95AA8" w:rsidRDefault="007550E7" w:rsidP="00F95AA8">
      <w:pPr>
        <w:pStyle w:val="ListParagraph"/>
        <w:numPr>
          <w:ilvl w:val="0"/>
          <w:numId w:val="11"/>
        </w:numPr>
        <w:jc w:val="both"/>
        <w:rPr>
          <w:rFonts w:ascii="Verdana" w:hAnsi="Verdana" w:cstheme="minorHAnsi"/>
          <w:sz w:val="20"/>
          <w:szCs w:val="20"/>
        </w:rPr>
      </w:pPr>
      <w:r w:rsidRPr="00F95AA8">
        <w:rPr>
          <w:rFonts w:ascii="Verdana" w:hAnsi="Verdana" w:cstheme="minorHAnsi"/>
          <w:sz w:val="20"/>
          <w:szCs w:val="20"/>
        </w:rPr>
        <w:t>Any additional attachments required by Partner Country (please check Eligibility Criteria section</w:t>
      </w:r>
      <w:r w:rsidR="00084EC9" w:rsidRPr="00F95AA8">
        <w:rPr>
          <w:rFonts w:ascii="Verdana" w:hAnsi="Verdana" w:cstheme="minorHAnsi"/>
          <w:sz w:val="20"/>
          <w:szCs w:val="20"/>
        </w:rPr>
        <w:t xml:space="preserve"> of the Application Guidance document</w:t>
      </w:r>
      <w:r w:rsidRPr="00F95AA8">
        <w:rPr>
          <w:rFonts w:ascii="Verdana" w:hAnsi="Verdana" w:cstheme="minorHAnsi"/>
          <w:sz w:val="20"/>
          <w:szCs w:val="20"/>
        </w:rPr>
        <w:t>)</w:t>
      </w:r>
    </w:p>
    <w:p w14:paraId="1122A7A2" w14:textId="49CE8515" w:rsidR="00562856" w:rsidRDefault="00562856" w:rsidP="00F95AA8">
      <w:pPr>
        <w:pStyle w:val="NoSpacing"/>
        <w:jc w:val="both"/>
      </w:pPr>
      <w:r>
        <w:rPr>
          <w:b/>
        </w:rPr>
        <w:t>Failure to attach the mandatory attachments and complete the proposal form as outlined in the application guidance could result in your proposal being rejected.</w:t>
      </w:r>
      <w:r>
        <w:t xml:space="preserve"> </w:t>
      </w:r>
      <w:r w:rsidRPr="00562856">
        <w:rPr>
          <w:b/>
        </w:rPr>
        <w:t>Please ensure</w:t>
      </w:r>
      <w:r>
        <w:rPr>
          <w:b/>
        </w:rPr>
        <w:t xml:space="preserve"> you read the guidance thoroughly before starting your proposal. </w:t>
      </w:r>
    </w:p>
    <w:p w14:paraId="7985B775" w14:textId="77777777" w:rsidR="00562856" w:rsidRDefault="00562856" w:rsidP="00F95AA8">
      <w:pPr>
        <w:pStyle w:val="NoSpacing"/>
        <w:jc w:val="both"/>
      </w:pPr>
    </w:p>
    <w:p w14:paraId="77CD358B" w14:textId="221506B3" w:rsidR="00A46D4A" w:rsidRPr="00562856" w:rsidRDefault="00A46D4A" w:rsidP="00F95AA8">
      <w:pPr>
        <w:jc w:val="both"/>
        <w:rPr>
          <w:rFonts w:ascii="Verdana" w:hAnsi="Verdana" w:cstheme="minorHAnsi"/>
          <w:sz w:val="20"/>
        </w:rPr>
      </w:pPr>
      <w:r w:rsidRPr="00562856">
        <w:rPr>
          <w:rFonts w:ascii="Verdana" w:hAnsi="Verdana" w:cstheme="minorHAnsi"/>
          <w:b/>
          <w:sz w:val="20"/>
        </w:rPr>
        <w:t>Please Note:</w:t>
      </w:r>
      <w:r w:rsidRPr="00562856">
        <w:rPr>
          <w:rFonts w:ascii="Verdana" w:hAnsi="Verdana" w:cstheme="minorHAnsi"/>
          <w:sz w:val="20"/>
        </w:rPr>
        <w:t xml:space="preserve"> </w:t>
      </w:r>
      <w:r w:rsidR="00E96AE3" w:rsidRPr="00562856">
        <w:rPr>
          <w:rFonts w:ascii="Verdana" w:hAnsi="Verdana" w:cstheme="minorHAnsi"/>
          <w:sz w:val="20"/>
        </w:rPr>
        <w:t>The Engineering &amp; Physical Sciences Research Council (EPSRC)</w:t>
      </w:r>
      <w:r w:rsidRPr="00562856">
        <w:rPr>
          <w:rFonts w:ascii="Verdana" w:hAnsi="Verdana" w:cstheme="minorHAnsi"/>
          <w:sz w:val="20"/>
        </w:rPr>
        <w:t xml:space="preserve"> are hosting this call on behalf of the Research Councils</w:t>
      </w:r>
      <w:r w:rsidR="007B5796">
        <w:rPr>
          <w:rFonts w:ascii="Verdana" w:hAnsi="Verdana" w:cstheme="minorHAnsi"/>
          <w:sz w:val="20"/>
        </w:rPr>
        <w:t>,</w:t>
      </w:r>
      <w:r w:rsidRPr="00562856">
        <w:rPr>
          <w:rFonts w:ascii="Verdana" w:hAnsi="Verdana" w:cstheme="minorHAnsi"/>
          <w:sz w:val="20"/>
        </w:rPr>
        <w:t xml:space="preserve"> </w:t>
      </w:r>
      <w:r w:rsidR="00C77003">
        <w:rPr>
          <w:rFonts w:ascii="Verdana" w:hAnsi="Verdana" w:cstheme="minorHAnsi"/>
          <w:sz w:val="20"/>
        </w:rPr>
        <w:t>DIPI</w:t>
      </w:r>
      <w:r w:rsidR="007B5796">
        <w:rPr>
          <w:rFonts w:ascii="Verdana" w:hAnsi="Verdana" w:cstheme="minorHAnsi"/>
          <w:sz w:val="20"/>
        </w:rPr>
        <w:t>,</w:t>
      </w:r>
      <w:r w:rsidR="007B5796" w:rsidRPr="007B5796">
        <w:rPr>
          <w:rFonts w:ascii="Verdana" w:hAnsi="Verdana" w:cstheme="minorHAnsi"/>
          <w:sz w:val="20"/>
        </w:rPr>
        <w:t xml:space="preserve"> Ristekdikti</w:t>
      </w:r>
      <w:r w:rsidR="007B5796">
        <w:rPr>
          <w:rFonts w:ascii="Verdana" w:hAnsi="Verdana" w:cstheme="minorHAnsi"/>
          <w:sz w:val="20"/>
        </w:rPr>
        <w:t>, MoHE,</w:t>
      </w:r>
      <w:r w:rsidR="007B5796" w:rsidRPr="007B5796">
        <w:rPr>
          <w:rFonts w:ascii="Verdana" w:hAnsi="Verdana" w:cstheme="minorHAnsi"/>
          <w:sz w:val="20"/>
        </w:rPr>
        <w:t xml:space="preserve"> DOST</w:t>
      </w:r>
      <w:r w:rsidR="007B5796">
        <w:rPr>
          <w:rFonts w:ascii="Verdana" w:hAnsi="Verdana" w:cstheme="minorHAnsi"/>
          <w:sz w:val="20"/>
        </w:rPr>
        <w:t xml:space="preserve">, </w:t>
      </w:r>
      <w:r w:rsidR="00FA2407">
        <w:rPr>
          <w:rFonts w:ascii="Verdana" w:hAnsi="Verdana" w:cstheme="minorHAnsi"/>
          <w:sz w:val="20"/>
        </w:rPr>
        <w:t xml:space="preserve">and </w:t>
      </w:r>
      <w:r w:rsidR="007B5796">
        <w:rPr>
          <w:rFonts w:ascii="Verdana" w:hAnsi="Verdana" w:cstheme="minorHAnsi"/>
          <w:sz w:val="20"/>
        </w:rPr>
        <w:t xml:space="preserve">TRF </w:t>
      </w:r>
      <w:r w:rsidRPr="00562856">
        <w:rPr>
          <w:rFonts w:ascii="Verdana" w:hAnsi="Verdana" w:cstheme="minorHAnsi"/>
          <w:sz w:val="20"/>
        </w:rPr>
        <w:t>through the UK Research Councils’ grant submission system known as ‘Je-S’.  It is a requirement of this call that successful proposals will be withdrawn from the call on Je</w:t>
      </w:r>
      <w:r w:rsidR="00DA4539">
        <w:rPr>
          <w:rFonts w:ascii="Verdana" w:hAnsi="Verdana" w:cstheme="minorHAnsi"/>
          <w:sz w:val="20"/>
        </w:rPr>
        <w:t>-</w:t>
      </w:r>
      <w:r w:rsidRPr="00562856">
        <w:rPr>
          <w:rFonts w:ascii="Verdana" w:hAnsi="Verdana" w:cstheme="minorHAnsi"/>
          <w:sz w:val="20"/>
        </w:rPr>
        <w:t xml:space="preserve">S after decisions have been made and re-submitted to the </w:t>
      </w:r>
      <w:r w:rsidR="006D5636" w:rsidRPr="00562856">
        <w:rPr>
          <w:rFonts w:ascii="Verdana" w:hAnsi="Verdana" w:cstheme="minorHAnsi"/>
          <w:b/>
          <w:sz w:val="20"/>
        </w:rPr>
        <w:t xml:space="preserve">lead </w:t>
      </w:r>
      <w:r w:rsidRPr="00562856">
        <w:rPr>
          <w:rFonts w:ascii="Verdana" w:hAnsi="Verdana" w:cstheme="minorHAnsi"/>
          <w:b/>
          <w:sz w:val="20"/>
        </w:rPr>
        <w:t>remit council</w:t>
      </w:r>
      <w:r w:rsidRPr="00562856">
        <w:rPr>
          <w:rFonts w:ascii="Verdana" w:hAnsi="Verdana" w:cstheme="minorHAnsi"/>
          <w:sz w:val="20"/>
        </w:rPr>
        <w:t xml:space="preserve"> of the proposal on </w:t>
      </w:r>
      <w:r w:rsidR="00C773FE" w:rsidRPr="00562856">
        <w:rPr>
          <w:rFonts w:ascii="Verdana" w:hAnsi="Verdana" w:cstheme="minorHAnsi"/>
          <w:sz w:val="20"/>
        </w:rPr>
        <w:t>Je</w:t>
      </w:r>
      <w:r w:rsidR="00C773FE">
        <w:rPr>
          <w:rFonts w:ascii="Verdana" w:hAnsi="Verdana" w:cstheme="minorHAnsi"/>
          <w:sz w:val="20"/>
        </w:rPr>
        <w:t>-</w:t>
      </w:r>
      <w:r w:rsidR="00C773FE" w:rsidRPr="00562856">
        <w:rPr>
          <w:rFonts w:ascii="Verdana" w:hAnsi="Verdana" w:cstheme="minorHAnsi"/>
          <w:sz w:val="20"/>
        </w:rPr>
        <w:t>S</w:t>
      </w:r>
      <w:r w:rsidRPr="00562856">
        <w:rPr>
          <w:rFonts w:ascii="Verdana" w:hAnsi="Verdana" w:cstheme="minorHAnsi"/>
          <w:sz w:val="20"/>
        </w:rPr>
        <w:t xml:space="preserve"> for awards to be finalised and made.  </w:t>
      </w:r>
      <w:r w:rsidR="00562856" w:rsidRPr="00562856">
        <w:rPr>
          <w:rFonts w:ascii="Verdana" w:hAnsi="Verdana" w:cstheme="minorHAnsi"/>
          <w:sz w:val="20"/>
        </w:rPr>
        <w:t>EPSRC</w:t>
      </w:r>
      <w:r w:rsidRPr="00562856">
        <w:rPr>
          <w:rFonts w:ascii="Verdana" w:hAnsi="Verdana" w:cstheme="minorHAnsi"/>
          <w:sz w:val="20"/>
        </w:rPr>
        <w:t xml:space="preserve"> remit grants will not need to be withdrawn and resubmitted.</w:t>
      </w:r>
    </w:p>
    <w:p w14:paraId="40BBBBEC" w14:textId="6E45099C" w:rsidR="00FA2407" w:rsidRDefault="00F24983" w:rsidP="00F95AA8">
      <w:pPr>
        <w:jc w:val="both"/>
        <w:rPr>
          <w:rFonts w:ascii="Verdana" w:hAnsi="Verdana"/>
          <w:sz w:val="20"/>
          <w:szCs w:val="20"/>
        </w:rPr>
      </w:pPr>
      <w:r w:rsidRPr="00F04EE4">
        <w:rPr>
          <w:rFonts w:ascii="Verdana" w:hAnsi="Verdana"/>
          <w:b/>
          <w:sz w:val="20"/>
          <w:szCs w:val="20"/>
        </w:rPr>
        <w:t>In addition:</w:t>
      </w:r>
      <w:r>
        <w:rPr>
          <w:rFonts w:ascii="Verdana" w:hAnsi="Verdana"/>
          <w:sz w:val="20"/>
          <w:szCs w:val="20"/>
        </w:rPr>
        <w:t xml:space="preserve"> Some Southeast Asian partners require applicants to submit to their own systems as well as Je-S. </w:t>
      </w:r>
      <w:r w:rsidR="00FA2407">
        <w:rPr>
          <w:rFonts w:ascii="Verdana" w:hAnsi="Verdana"/>
          <w:sz w:val="20"/>
          <w:szCs w:val="20"/>
        </w:rPr>
        <w:t xml:space="preserve">Please check the </w:t>
      </w:r>
      <w:r>
        <w:rPr>
          <w:rFonts w:ascii="Verdana" w:hAnsi="Verdana"/>
          <w:sz w:val="20"/>
          <w:szCs w:val="20"/>
        </w:rPr>
        <w:t>Eligibility</w:t>
      </w:r>
      <w:r w:rsidR="00FA2407">
        <w:rPr>
          <w:rFonts w:ascii="Verdana" w:hAnsi="Verdana"/>
          <w:sz w:val="20"/>
          <w:szCs w:val="20"/>
        </w:rPr>
        <w:t xml:space="preserve"> Criteria and Funding Available section of the partner you are applying to for further information.</w:t>
      </w:r>
    </w:p>
    <w:p w14:paraId="77CD358D" w14:textId="7D251E1A" w:rsidR="00454CC5" w:rsidRPr="00562856" w:rsidRDefault="00454CC5" w:rsidP="00F95AA8">
      <w:pPr>
        <w:jc w:val="both"/>
        <w:rPr>
          <w:rFonts w:ascii="Verdana" w:hAnsi="Verdana" w:cstheme="minorHAnsi"/>
          <w:b/>
          <w:bCs/>
          <w:sz w:val="20"/>
          <w:szCs w:val="20"/>
          <w:u w:val="single"/>
        </w:rPr>
      </w:pPr>
      <w:r w:rsidRPr="00562856">
        <w:rPr>
          <w:rFonts w:ascii="Verdana" w:hAnsi="Verdana" w:cstheme="minorHAnsi"/>
          <w:b/>
          <w:bCs/>
          <w:sz w:val="20"/>
          <w:szCs w:val="20"/>
          <w:u w:val="single"/>
        </w:rPr>
        <w:t>Key dates</w:t>
      </w:r>
    </w:p>
    <w:tbl>
      <w:tblPr>
        <w:tblStyle w:val="TableGrid"/>
        <w:tblW w:w="0" w:type="auto"/>
        <w:tblLook w:val="04A0" w:firstRow="1" w:lastRow="0" w:firstColumn="1" w:lastColumn="0" w:noHBand="0" w:noVBand="1"/>
      </w:tblPr>
      <w:tblGrid>
        <w:gridCol w:w="6062"/>
        <w:gridCol w:w="3180"/>
      </w:tblGrid>
      <w:tr w:rsidR="00454CC5" w:rsidRPr="008E3DEC" w14:paraId="77CD3590" w14:textId="77777777" w:rsidTr="007228A3">
        <w:trPr>
          <w:trHeight w:val="70"/>
        </w:trPr>
        <w:tc>
          <w:tcPr>
            <w:tcW w:w="6062" w:type="dxa"/>
            <w:tcBorders>
              <w:top w:val="single" w:sz="4" w:space="0" w:color="auto"/>
              <w:left w:val="single" w:sz="4" w:space="0" w:color="auto"/>
              <w:bottom w:val="single" w:sz="4" w:space="0" w:color="auto"/>
              <w:right w:val="single" w:sz="4" w:space="0" w:color="auto"/>
            </w:tcBorders>
            <w:hideMark/>
          </w:tcPr>
          <w:p w14:paraId="77CD358E" w14:textId="2AFFF4A5" w:rsidR="00454CC5" w:rsidRPr="008E3DEC" w:rsidRDefault="00454CC5">
            <w:pPr>
              <w:rPr>
                <w:rFonts w:ascii="Verdana" w:hAnsi="Verdana" w:cstheme="minorHAnsi"/>
                <w:b/>
                <w:bCs/>
                <w:sz w:val="20"/>
                <w:szCs w:val="20"/>
              </w:rPr>
            </w:pPr>
            <w:r w:rsidRPr="008E3DEC">
              <w:rPr>
                <w:rFonts w:ascii="Verdana" w:hAnsi="Verdana" w:cstheme="minorHAnsi"/>
                <w:sz w:val="20"/>
                <w:szCs w:val="20"/>
              </w:rPr>
              <w:t>Announce call for proposals</w:t>
            </w:r>
            <w:r w:rsidR="005E4A10" w:rsidRPr="008E3DEC">
              <w:rPr>
                <w:rFonts w:ascii="Verdana" w:hAnsi="Verdana" w:cstheme="minorHAnsi"/>
                <w:sz w:val="20"/>
                <w:szCs w:val="20"/>
              </w:rPr>
              <w:t xml:space="preserve"> (Je</w:t>
            </w:r>
            <w:r w:rsidR="00DA4539">
              <w:rPr>
                <w:rFonts w:ascii="Verdana" w:hAnsi="Verdana" w:cstheme="minorHAnsi"/>
                <w:sz w:val="20"/>
                <w:szCs w:val="20"/>
              </w:rPr>
              <w:t>-</w:t>
            </w:r>
            <w:r w:rsidR="005E4A10" w:rsidRPr="008E3DEC">
              <w:rPr>
                <w:rFonts w:ascii="Verdana" w:hAnsi="Verdana" w:cstheme="minorHAnsi"/>
                <w:sz w:val="20"/>
                <w:szCs w:val="20"/>
              </w:rPr>
              <w:t>S system opens)</w:t>
            </w:r>
          </w:p>
        </w:tc>
        <w:tc>
          <w:tcPr>
            <w:tcW w:w="3180" w:type="dxa"/>
            <w:tcBorders>
              <w:top w:val="single" w:sz="4" w:space="0" w:color="auto"/>
              <w:left w:val="single" w:sz="4" w:space="0" w:color="auto"/>
              <w:bottom w:val="single" w:sz="4" w:space="0" w:color="auto"/>
              <w:right w:val="single" w:sz="4" w:space="0" w:color="auto"/>
            </w:tcBorders>
          </w:tcPr>
          <w:p w14:paraId="77CD358F" w14:textId="77BBC07D" w:rsidR="00454CC5" w:rsidRPr="008E3DEC" w:rsidRDefault="008E3DEC" w:rsidP="000C3DB5">
            <w:pPr>
              <w:rPr>
                <w:rFonts w:ascii="Verdana" w:hAnsi="Verdana" w:cstheme="minorHAnsi"/>
                <w:bCs/>
                <w:sz w:val="20"/>
                <w:szCs w:val="20"/>
              </w:rPr>
            </w:pPr>
            <w:r>
              <w:rPr>
                <w:rFonts w:ascii="Verdana" w:hAnsi="Verdana" w:cstheme="minorHAnsi"/>
                <w:bCs/>
                <w:sz w:val="20"/>
                <w:szCs w:val="20"/>
              </w:rPr>
              <w:t>2</w:t>
            </w:r>
            <w:r w:rsidR="00084EC9">
              <w:rPr>
                <w:rFonts w:ascii="Verdana" w:hAnsi="Verdana" w:cstheme="minorHAnsi"/>
                <w:bCs/>
                <w:sz w:val="20"/>
                <w:szCs w:val="20"/>
              </w:rPr>
              <w:t>5</w:t>
            </w:r>
            <w:r>
              <w:rPr>
                <w:rFonts w:ascii="Verdana" w:hAnsi="Verdana" w:cstheme="minorHAnsi"/>
                <w:bCs/>
                <w:sz w:val="20"/>
                <w:szCs w:val="20"/>
              </w:rPr>
              <w:t xml:space="preserve"> </w:t>
            </w:r>
            <w:r w:rsidR="000C3DB5">
              <w:rPr>
                <w:rFonts w:ascii="Verdana" w:hAnsi="Verdana" w:cstheme="minorHAnsi"/>
                <w:bCs/>
                <w:sz w:val="20"/>
                <w:szCs w:val="20"/>
              </w:rPr>
              <w:t>May</w:t>
            </w:r>
            <w:r>
              <w:rPr>
                <w:rFonts w:ascii="Verdana" w:hAnsi="Verdana" w:cstheme="minorHAnsi"/>
                <w:bCs/>
                <w:sz w:val="20"/>
                <w:szCs w:val="20"/>
              </w:rPr>
              <w:t xml:space="preserve"> 2016</w:t>
            </w:r>
          </w:p>
        </w:tc>
      </w:tr>
      <w:tr w:rsidR="00454CC5" w:rsidRPr="008E3DEC" w14:paraId="77CD3599" w14:textId="77777777" w:rsidTr="007228A3">
        <w:tc>
          <w:tcPr>
            <w:tcW w:w="6062" w:type="dxa"/>
            <w:tcBorders>
              <w:top w:val="single" w:sz="4" w:space="0" w:color="auto"/>
              <w:left w:val="single" w:sz="4" w:space="0" w:color="auto"/>
              <w:bottom w:val="single" w:sz="4" w:space="0" w:color="auto"/>
              <w:right w:val="single" w:sz="4" w:space="0" w:color="auto"/>
            </w:tcBorders>
            <w:hideMark/>
          </w:tcPr>
          <w:p w14:paraId="77CD3597" w14:textId="77777777" w:rsidR="00454CC5" w:rsidRPr="008E3DEC" w:rsidRDefault="00454CC5">
            <w:pPr>
              <w:rPr>
                <w:rFonts w:ascii="Verdana" w:hAnsi="Verdana" w:cstheme="minorHAnsi"/>
                <w:bCs/>
                <w:sz w:val="20"/>
                <w:szCs w:val="20"/>
              </w:rPr>
            </w:pPr>
            <w:r w:rsidRPr="008E3DEC">
              <w:rPr>
                <w:rFonts w:ascii="Verdana" w:hAnsi="Verdana" w:cstheme="minorHAnsi"/>
                <w:sz w:val="20"/>
                <w:szCs w:val="20"/>
              </w:rPr>
              <w:lastRenderedPageBreak/>
              <w:t>Closing date for proposals</w:t>
            </w:r>
          </w:p>
        </w:tc>
        <w:tc>
          <w:tcPr>
            <w:tcW w:w="3180" w:type="dxa"/>
            <w:tcBorders>
              <w:top w:val="single" w:sz="4" w:space="0" w:color="auto"/>
              <w:left w:val="single" w:sz="4" w:space="0" w:color="auto"/>
              <w:bottom w:val="single" w:sz="4" w:space="0" w:color="auto"/>
              <w:right w:val="single" w:sz="4" w:space="0" w:color="auto"/>
            </w:tcBorders>
          </w:tcPr>
          <w:p w14:paraId="77CD3598" w14:textId="56D8FD41" w:rsidR="00454CC5" w:rsidRPr="008E3DEC" w:rsidRDefault="008E3DEC" w:rsidP="000C3DB5">
            <w:pPr>
              <w:rPr>
                <w:rFonts w:ascii="Verdana" w:hAnsi="Verdana" w:cstheme="minorHAnsi"/>
                <w:bCs/>
                <w:sz w:val="20"/>
                <w:szCs w:val="20"/>
              </w:rPr>
            </w:pPr>
            <w:r>
              <w:rPr>
                <w:rFonts w:ascii="Verdana" w:hAnsi="Verdana" w:cstheme="minorHAnsi"/>
                <w:bCs/>
                <w:sz w:val="20"/>
                <w:szCs w:val="20"/>
              </w:rPr>
              <w:t>0</w:t>
            </w:r>
            <w:r w:rsidR="000C3DB5">
              <w:rPr>
                <w:rFonts w:ascii="Verdana" w:hAnsi="Verdana" w:cstheme="minorHAnsi"/>
                <w:bCs/>
                <w:sz w:val="20"/>
                <w:szCs w:val="20"/>
              </w:rPr>
              <w:t>2</w:t>
            </w:r>
            <w:r>
              <w:rPr>
                <w:rFonts w:ascii="Verdana" w:hAnsi="Verdana" w:cstheme="minorHAnsi"/>
                <w:bCs/>
                <w:sz w:val="20"/>
                <w:szCs w:val="20"/>
              </w:rPr>
              <w:t xml:space="preserve"> </w:t>
            </w:r>
            <w:r w:rsidR="000C3DB5">
              <w:rPr>
                <w:rFonts w:ascii="Verdana" w:hAnsi="Verdana" w:cstheme="minorHAnsi"/>
                <w:bCs/>
                <w:sz w:val="20"/>
                <w:szCs w:val="20"/>
              </w:rPr>
              <w:t>August</w:t>
            </w:r>
            <w:r>
              <w:rPr>
                <w:rFonts w:ascii="Verdana" w:hAnsi="Verdana" w:cstheme="minorHAnsi"/>
                <w:bCs/>
                <w:sz w:val="20"/>
                <w:szCs w:val="20"/>
              </w:rPr>
              <w:t xml:space="preserve"> 2016</w:t>
            </w:r>
            <w:r w:rsidR="005E4A10" w:rsidRPr="008E3DEC">
              <w:rPr>
                <w:rFonts w:ascii="Verdana" w:hAnsi="Verdana" w:cstheme="minorHAnsi"/>
                <w:bCs/>
                <w:sz w:val="20"/>
                <w:szCs w:val="20"/>
              </w:rPr>
              <w:t xml:space="preserve"> </w:t>
            </w:r>
          </w:p>
        </w:tc>
      </w:tr>
      <w:tr w:rsidR="00454CC5" w:rsidRPr="008E3DEC" w14:paraId="77CD35A3" w14:textId="77777777" w:rsidTr="007228A3">
        <w:tc>
          <w:tcPr>
            <w:tcW w:w="6062" w:type="dxa"/>
            <w:tcBorders>
              <w:top w:val="single" w:sz="4" w:space="0" w:color="auto"/>
              <w:left w:val="single" w:sz="4" w:space="0" w:color="auto"/>
              <w:bottom w:val="single" w:sz="4" w:space="0" w:color="auto"/>
              <w:right w:val="single" w:sz="4" w:space="0" w:color="auto"/>
            </w:tcBorders>
            <w:hideMark/>
          </w:tcPr>
          <w:p w14:paraId="77CD35A1" w14:textId="5D788F83" w:rsidR="00454CC5" w:rsidRPr="008E3DEC" w:rsidRDefault="00C773FE" w:rsidP="00D279F4">
            <w:pPr>
              <w:rPr>
                <w:rFonts w:ascii="Verdana" w:hAnsi="Verdana" w:cstheme="minorHAnsi"/>
                <w:b/>
                <w:bCs/>
                <w:sz w:val="20"/>
                <w:szCs w:val="20"/>
              </w:rPr>
            </w:pPr>
            <w:r>
              <w:rPr>
                <w:rFonts w:ascii="Verdana" w:hAnsi="Verdana" w:cstheme="minorHAnsi"/>
                <w:sz w:val="20"/>
                <w:szCs w:val="20"/>
              </w:rPr>
              <w:t>UK</w:t>
            </w:r>
            <w:r w:rsidR="008E3DEC">
              <w:rPr>
                <w:rFonts w:ascii="Verdana" w:hAnsi="Verdana" w:cstheme="minorHAnsi"/>
                <w:sz w:val="20"/>
                <w:szCs w:val="20"/>
              </w:rPr>
              <w:t>-</w:t>
            </w:r>
            <w:r w:rsidR="009311E2">
              <w:rPr>
                <w:rFonts w:ascii="Verdana" w:hAnsi="Verdana" w:cstheme="minorHAnsi"/>
                <w:sz w:val="20"/>
                <w:szCs w:val="20"/>
              </w:rPr>
              <w:t>Southeast</w:t>
            </w:r>
            <w:r w:rsidR="008E3DEC">
              <w:rPr>
                <w:rFonts w:ascii="Verdana" w:hAnsi="Verdana" w:cstheme="minorHAnsi"/>
                <w:sz w:val="20"/>
                <w:szCs w:val="20"/>
              </w:rPr>
              <w:t xml:space="preserve"> Asia</w:t>
            </w:r>
            <w:r w:rsidR="00D279F4" w:rsidRPr="008E3DEC">
              <w:rPr>
                <w:rFonts w:ascii="Verdana" w:hAnsi="Verdana" w:cstheme="minorHAnsi"/>
                <w:sz w:val="20"/>
                <w:szCs w:val="20"/>
              </w:rPr>
              <w:t xml:space="preserve"> </w:t>
            </w:r>
            <w:r w:rsidR="00454CC5" w:rsidRPr="008E3DEC">
              <w:rPr>
                <w:rFonts w:ascii="Verdana" w:hAnsi="Verdana" w:cstheme="minorHAnsi"/>
                <w:sz w:val="20"/>
                <w:szCs w:val="20"/>
              </w:rPr>
              <w:t xml:space="preserve"> Joint Panel</w:t>
            </w:r>
            <w:r w:rsidR="008E3DEC">
              <w:rPr>
                <w:rFonts w:ascii="Verdana" w:hAnsi="Verdana" w:cstheme="minorHAnsi"/>
                <w:sz w:val="20"/>
                <w:szCs w:val="20"/>
              </w:rPr>
              <w:t>s</w:t>
            </w:r>
          </w:p>
        </w:tc>
        <w:tc>
          <w:tcPr>
            <w:tcW w:w="3180" w:type="dxa"/>
            <w:tcBorders>
              <w:top w:val="single" w:sz="4" w:space="0" w:color="auto"/>
              <w:left w:val="single" w:sz="4" w:space="0" w:color="auto"/>
              <w:bottom w:val="single" w:sz="4" w:space="0" w:color="auto"/>
              <w:right w:val="single" w:sz="4" w:space="0" w:color="auto"/>
            </w:tcBorders>
          </w:tcPr>
          <w:p w14:paraId="77CD35A2" w14:textId="752679D1" w:rsidR="00454CC5" w:rsidRPr="008E3DEC" w:rsidRDefault="005E4A10" w:rsidP="000C3DB5">
            <w:pPr>
              <w:rPr>
                <w:rFonts w:ascii="Verdana" w:hAnsi="Verdana" w:cstheme="minorHAnsi"/>
                <w:bCs/>
                <w:sz w:val="20"/>
                <w:szCs w:val="20"/>
              </w:rPr>
            </w:pPr>
            <w:r w:rsidRPr="008E3DEC">
              <w:rPr>
                <w:rFonts w:ascii="Verdana" w:hAnsi="Verdana" w:cstheme="minorHAnsi"/>
                <w:bCs/>
                <w:sz w:val="20"/>
                <w:szCs w:val="20"/>
              </w:rPr>
              <w:t xml:space="preserve">Early </w:t>
            </w:r>
            <w:r w:rsidR="000C3DB5">
              <w:rPr>
                <w:rFonts w:ascii="Verdana" w:hAnsi="Verdana" w:cstheme="minorHAnsi"/>
                <w:bCs/>
                <w:sz w:val="20"/>
                <w:szCs w:val="20"/>
              </w:rPr>
              <w:t>Octo</w:t>
            </w:r>
            <w:r w:rsidRPr="008E3DEC">
              <w:rPr>
                <w:rFonts w:ascii="Verdana" w:hAnsi="Verdana" w:cstheme="minorHAnsi"/>
                <w:bCs/>
                <w:sz w:val="20"/>
                <w:szCs w:val="20"/>
              </w:rPr>
              <w:t>ber</w:t>
            </w:r>
            <w:r w:rsidR="00562856">
              <w:rPr>
                <w:rFonts w:ascii="Verdana" w:hAnsi="Verdana" w:cstheme="minorHAnsi"/>
                <w:bCs/>
                <w:sz w:val="20"/>
                <w:szCs w:val="20"/>
              </w:rPr>
              <w:t xml:space="preserve"> 2016</w:t>
            </w:r>
          </w:p>
        </w:tc>
      </w:tr>
      <w:tr w:rsidR="00454CC5" w:rsidRPr="008E3DEC" w14:paraId="77CD35A6" w14:textId="77777777" w:rsidTr="007228A3">
        <w:tc>
          <w:tcPr>
            <w:tcW w:w="6062" w:type="dxa"/>
            <w:tcBorders>
              <w:top w:val="single" w:sz="4" w:space="0" w:color="auto"/>
              <w:left w:val="single" w:sz="4" w:space="0" w:color="auto"/>
              <w:bottom w:val="single" w:sz="4" w:space="0" w:color="auto"/>
              <w:right w:val="single" w:sz="4" w:space="0" w:color="auto"/>
            </w:tcBorders>
            <w:hideMark/>
          </w:tcPr>
          <w:p w14:paraId="77CD35A4" w14:textId="77777777" w:rsidR="00454CC5" w:rsidRPr="008E3DEC" w:rsidRDefault="00454CC5">
            <w:pPr>
              <w:rPr>
                <w:rFonts w:ascii="Verdana" w:hAnsi="Verdana" w:cstheme="minorHAnsi"/>
                <w:b/>
                <w:bCs/>
                <w:sz w:val="20"/>
                <w:szCs w:val="20"/>
              </w:rPr>
            </w:pPr>
            <w:r w:rsidRPr="008E3DEC">
              <w:rPr>
                <w:rFonts w:ascii="Verdana" w:hAnsi="Verdana" w:cstheme="minorHAnsi"/>
                <w:sz w:val="20"/>
                <w:szCs w:val="20"/>
              </w:rPr>
              <w:t>Decisions announced</w:t>
            </w:r>
          </w:p>
        </w:tc>
        <w:tc>
          <w:tcPr>
            <w:tcW w:w="3180" w:type="dxa"/>
            <w:tcBorders>
              <w:top w:val="single" w:sz="4" w:space="0" w:color="auto"/>
              <w:left w:val="single" w:sz="4" w:space="0" w:color="auto"/>
              <w:bottom w:val="single" w:sz="4" w:space="0" w:color="auto"/>
              <w:right w:val="single" w:sz="4" w:space="0" w:color="auto"/>
            </w:tcBorders>
          </w:tcPr>
          <w:p w14:paraId="77CD35A5" w14:textId="18BACB26" w:rsidR="00454CC5" w:rsidRPr="008E3DEC" w:rsidRDefault="005E4A10" w:rsidP="000E6911">
            <w:pPr>
              <w:rPr>
                <w:rFonts w:ascii="Verdana" w:hAnsi="Verdana" w:cstheme="minorHAnsi"/>
                <w:bCs/>
                <w:sz w:val="20"/>
                <w:szCs w:val="20"/>
              </w:rPr>
            </w:pPr>
            <w:r w:rsidRPr="008E3DEC">
              <w:rPr>
                <w:rFonts w:ascii="Verdana" w:hAnsi="Verdana" w:cstheme="minorHAnsi"/>
                <w:bCs/>
                <w:sz w:val="20"/>
                <w:szCs w:val="20"/>
              </w:rPr>
              <w:t>End</w:t>
            </w:r>
            <w:r w:rsidR="004A331B">
              <w:rPr>
                <w:rFonts w:ascii="Verdana" w:hAnsi="Verdana" w:cstheme="minorHAnsi"/>
                <w:bCs/>
                <w:sz w:val="20"/>
                <w:szCs w:val="20"/>
              </w:rPr>
              <w:t xml:space="preserve"> of</w:t>
            </w:r>
            <w:r w:rsidRPr="008E3DEC">
              <w:rPr>
                <w:rFonts w:ascii="Verdana" w:hAnsi="Verdana" w:cstheme="minorHAnsi"/>
                <w:bCs/>
                <w:sz w:val="20"/>
                <w:szCs w:val="20"/>
              </w:rPr>
              <w:t xml:space="preserve"> </w:t>
            </w:r>
            <w:r w:rsidR="000E6911">
              <w:rPr>
                <w:rFonts w:ascii="Verdana" w:hAnsi="Verdana" w:cstheme="minorHAnsi"/>
                <w:bCs/>
                <w:sz w:val="20"/>
                <w:szCs w:val="20"/>
              </w:rPr>
              <w:t>Octo</w:t>
            </w:r>
            <w:r w:rsidRPr="008E3DEC">
              <w:rPr>
                <w:rFonts w:ascii="Verdana" w:hAnsi="Verdana" w:cstheme="minorHAnsi"/>
                <w:bCs/>
                <w:sz w:val="20"/>
                <w:szCs w:val="20"/>
              </w:rPr>
              <w:t>ber</w:t>
            </w:r>
            <w:r w:rsidR="00562856">
              <w:rPr>
                <w:rFonts w:ascii="Verdana" w:hAnsi="Verdana" w:cstheme="minorHAnsi"/>
                <w:bCs/>
                <w:sz w:val="20"/>
                <w:szCs w:val="20"/>
              </w:rPr>
              <w:t xml:space="preserve"> 2016</w:t>
            </w:r>
          </w:p>
        </w:tc>
      </w:tr>
      <w:tr w:rsidR="00454CC5" w:rsidRPr="008E3DEC" w14:paraId="77CD35A9" w14:textId="77777777" w:rsidTr="007228A3">
        <w:tc>
          <w:tcPr>
            <w:tcW w:w="6062" w:type="dxa"/>
            <w:tcBorders>
              <w:top w:val="single" w:sz="4" w:space="0" w:color="auto"/>
              <w:left w:val="single" w:sz="4" w:space="0" w:color="auto"/>
              <w:bottom w:val="single" w:sz="4" w:space="0" w:color="auto"/>
              <w:right w:val="single" w:sz="4" w:space="0" w:color="auto"/>
            </w:tcBorders>
            <w:hideMark/>
          </w:tcPr>
          <w:p w14:paraId="77CD35A7" w14:textId="3A027CBD" w:rsidR="00454CC5" w:rsidRPr="008E3DEC" w:rsidRDefault="007C25B9" w:rsidP="00562856">
            <w:pPr>
              <w:rPr>
                <w:rFonts w:ascii="Verdana" w:hAnsi="Verdana" w:cstheme="minorHAnsi"/>
                <w:b/>
                <w:bCs/>
                <w:sz w:val="20"/>
                <w:szCs w:val="20"/>
              </w:rPr>
            </w:pPr>
            <w:r w:rsidRPr="008E3DEC">
              <w:rPr>
                <w:rFonts w:ascii="Verdana" w:hAnsi="Verdana" w:cstheme="minorHAnsi"/>
                <w:sz w:val="20"/>
                <w:szCs w:val="20"/>
              </w:rPr>
              <w:t xml:space="preserve">Successful proposals withdrawn from </w:t>
            </w:r>
            <w:r w:rsidR="00562856" w:rsidRPr="00562856">
              <w:rPr>
                <w:rFonts w:ascii="Verdana" w:hAnsi="Verdana" w:cstheme="minorHAnsi"/>
                <w:sz w:val="20"/>
                <w:szCs w:val="20"/>
              </w:rPr>
              <w:t xml:space="preserve">EPSRC </w:t>
            </w:r>
            <w:r w:rsidRPr="00562856">
              <w:rPr>
                <w:rFonts w:ascii="Verdana" w:hAnsi="Verdana" w:cstheme="minorHAnsi"/>
                <w:sz w:val="20"/>
                <w:szCs w:val="20"/>
              </w:rPr>
              <w:t>Je</w:t>
            </w:r>
            <w:r w:rsidR="00C773FE">
              <w:rPr>
                <w:rFonts w:ascii="Verdana" w:hAnsi="Verdana" w:cstheme="minorHAnsi"/>
                <w:sz w:val="20"/>
                <w:szCs w:val="20"/>
              </w:rPr>
              <w:t>-</w:t>
            </w:r>
            <w:r w:rsidRPr="00562856">
              <w:rPr>
                <w:rFonts w:ascii="Verdana" w:hAnsi="Verdana" w:cstheme="minorHAnsi"/>
                <w:sz w:val="20"/>
                <w:szCs w:val="20"/>
              </w:rPr>
              <w:t xml:space="preserve">S system by research offices and submitted to lead council by remit (not necessary for </w:t>
            </w:r>
            <w:r w:rsidR="005E4A10" w:rsidRPr="00562856">
              <w:rPr>
                <w:rFonts w:ascii="Verdana" w:hAnsi="Verdana" w:cstheme="minorHAnsi"/>
                <w:sz w:val="20"/>
                <w:szCs w:val="20"/>
              </w:rPr>
              <w:t xml:space="preserve">Research Council </w:t>
            </w:r>
            <w:r w:rsidRPr="00562856">
              <w:rPr>
                <w:rFonts w:ascii="Verdana" w:hAnsi="Verdana" w:cstheme="minorHAnsi"/>
                <w:sz w:val="20"/>
                <w:szCs w:val="20"/>
              </w:rPr>
              <w:t xml:space="preserve">-remit </w:t>
            </w:r>
            <w:r w:rsidRPr="008E3DEC">
              <w:rPr>
                <w:rFonts w:ascii="Verdana" w:hAnsi="Verdana" w:cstheme="minorHAnsi"/>
                <w:sz w:val="20"/>
                <w:szCs w:val="20"/>
              </w:rPr>
              <w:t>grants)</w:t>
            </w:r>
          </w:p>
        </w:tc>
        <w:tc>
          <w:tcPr>
            <w:tcW w:w="3180" w:type="dxa"/>
            <w:tcBorders>
              <w:top w:val="single" w:sz="4" w:space="0" w:color="auto"/>
              <w:left w:val="single" w:sz="4" w:space="0" w:color="auto"/>
              <w:bottom w:val="single" w:sz="4" w:space="0" w:color="auto"/>
              <w:right w:val="single" w:sz="4" w:space="0" w:color="auto"/>
            </w:tcBorders>
          </w:tcPr>
          <w:p w14:paraId="77CD35A8" w14:textId="3469569F" w:rsidR="00454CC5" w:rsidRPr="008E3DEC" w:rsidRDefault="005E4A10" w:rsidP="000E6911">
            <w:pPr>
              <w:rPr>
                <w:rFonts w:ascii="Verdana" w:hAnsi="Verdana" w:cstheme="minorHAnsi"/>
                <w:bCs/>
                <w:sz w:val="20"/>
                <w:szCs w:val="20"/>
              </w:rPr>
            </w:pPr>
            <w:r w:rsidRPr="008E3DEC">
              <w:rPr>
                <w:rFonts w:ascii="Verdana" w:hAnsi="Verdana" w:cstheme="minorHAnsi"/>
                <w:bCs/>
                <w:sz w:val="20"/>
                <w:szCs w:val="20"/>
              </w:rPr>
              <w:t xml:space="preserve">Early </w:t>
            </w:r>
            <w:r w:rsidR="000E6911">
              <w:rPr>
                <w:rFonts w:ascii="Verdana" w:hAnsi="Verdana" w:cstheme="minorHAnsi"/>
                <w:bCs/>
                <w:sz w:val="20"/>
                <w:szCs w:val="20"/>
              </w:rPr>
              <w:t>Novem</w:t>
            </w:r>
            <w:r w:rsidRPr="008E3DEC">
              <w:rPr>
                <w:rFonts w:ascii="Verdana" w:hAnsi="Verdana" w:cstheme="minorHAnsi"/>
                <w:bCs/>
                <w:sz w:val="20"/>
                <w:szCs w:val="20"/>
              </w:rPr>
              <w:t>ber</w:t>
            </w:r>
            <w:r w:rsidR="00562856">
              <w:rPr>
                <w:rFonts w:ascii="Verdana" w:hAnsi="Verdana" w:cstheme="minorHAnsi"/>
                <w:bCs/>
                <w:sz w:val="20"/>
                <w:szCs w:val="20"/>
              </w:rPr>
              <w:t xml:space="preserve"> 2016</w:t>
            </w:r>
          </w:p>
        </w:tc>
      </w:tr>
      <w:tr w:rsidR="00454CC5" w:rsidRPr="008E3DEC" w14:paraId="77CD35AC" w14:textId="77777777" w:rsidTr="00D76716">
        <w:tc>
          <w:tcPr>
            <w:tcW w:w="6062" w:type="dxa"/>
            <w:tcBorders>
              <w:top w:val="single" w:sz="4" w:space="0" w:color="auto"/>
              <w:left w:val="single" w:sz="4" w:space="0" w:color="auto"/>
              <w:bottom w:val="single" w:sz="4" w:space="0" w:color="auto"/>
              <w:right w:val="single" w:sz="4" w:space="0" w:color="auto"/>
            </w:tcBorders>
            <w:hideMark/>
          </w:tcPr>
          <w:p w14:paraId="77CD35AA" w14:textId="77777777" w:rsidR="00454CC5" w:rsidRPr="008E3DEC" w:rsidRDefault="00454CC5">
            <w:pPr>
              <w:rPr>
                <w:rFonts w:ascii="Verdana" w:hAnsi="Verdana" w:cstheme="minorHAnsi"/>
                <w:b/>
                <w:bCs/>
                <w:sz w:val="20"/>
                <w:szCs w:val="20"/>
              </w:rPr>
            </w:pPr>
            <w:r w:rsidRPr="008E3DEC">
              <w:rPr>
                <w:rFonts w:ascii="Verdana" w:hAnsi="Verdana" w:cstheme="minorHAnsi"/>
                <w:sz w:val="20"/>
                <w:szCs w:val="20"/>
              </w:rPr>
              <w:t xml:space="preserve">Grants commence </w:t>
            </w:r>
          </w:p>
        </w:tc>
        <w:tc>
          <w:tcPr>
            <w:tcW w:w="3180" w:type="dxa"/>
            <w:tcBorders>
              <w:top w:val="single" w:sz="4" w:space="0" w:color="auto"/>
              <w:left w:val="single" w:sz="4" w:space="0" w:color="auto"/>
              <w:bottom w:val="single" w:sz="4" w:space="0" w:color="auto"/>
              <w:right w:val="single" w:sz="4" w:space="0" w:color="auto"/>
            </w:tcBorders>
          </w:tcPr>
          <w:p w14:paraId="77CD35AB" w14:textId="482CF292" w:rsidR="00454CC5" w:rsidRPr="008E3DEC" w:rsidRDefault="00562856">
            <w:pPr>
              <w:rPr>
                <w:rFonts w:ascii="Verdana" w:hAnsi="Verdana" w:cstheme="minorHAnsi"/>
                <w:bCs/>
                <w:sz w:val="20"/>
                <w:szCs w:val="20"/>
              </w:rPr>
            </w:pPr>
            <w:r>
              <w:rPr>
                <w:rFonts w:ascii="Verdana" w:hAnsi="Verdana" w:cstheme="minorHAnsi"/>
                <w:bCs/>
                <w:sz w:val="20"/>
                <w:szCs w:val="20"/>
              </w:rPr>
              <w:t xml:space="preserve">01 </w:t>
            </w:r>
            <w:r w:rsidR="000C3DB5">
              <w:rPr>
                <w:rFonts w:ascii="Verdana" w:hAnsi="Verdana" w:cstheme="minorHAnsi"/>
                <w:bCs/>
                <w:sz w:val="20"/>
                <w:szCs w:val="20"/>
              </w:rPr>
              <w:t>Dec</w:t>
            </w:r>
            <w:r w:rsidR="005E4A10" w:rsidRPr="008E3DEC">
              <w:rPr>
                <w:rFonts w:ascii="Verdana" w:hAnsi="Verdana" w:cstheme="minorHAnsi"/>
                <w:bCs/>
                <w:sz w:val="20"/>
                <w:szCs w:val="20"/>
              </w:rPr>
              <w:t>ember</w:t>
            </w:r>
            <w:r>
              <w:rPr>
                <w:rFonts w:ascii="Verdana" w:hAnsi="Verdana" w:cstheme="minorHAnsi"/>
                <w:bCs/>
                <w:sz w:val="20"/>
                <w:szCs w:val="20"/>
              </w:rPr>
              <w:t xml:space="preserve"> 2016</w:t>
            </w:r>
          </w:p>
        </w:tc>
      </w:tr>
    </w:tbl>
    <w:p w14:paraId="77CD35AD" w14:textId="77777777" w:rsidR="00A46D4A" w:rsidRPr="00195DA3" w:rsidRDefault="00A46D4A" w:rsidP="00A46D4A">
      <w:pPr>
        <w:rPr>
          <w:rFonts w:cstheme="minorHAnsi"/>
          <w:b/>
          <w:bCs/>
          <w:szCs w:val="20"/>
        </w:rPr>
      </w:pPr>
    </w:p>
    <w:p w14:paraId="095C1A61" w14:textId="2707F0E2" w:rsidR="00DB31F2" w:rsidRPr="00DB31F2" w:rsidRDefault="00DB31F2" w:rsidP="00F95AA8">
      <w:pPr>
        <w:jc w:val="both"/>
        <w:rPr>
          <w:rFonts w:ascii="Verdana" w:hAnsi="Verdana" w:cstheme="minorHAnsi"/>
          <w:b/>
          <w:bCs/>
          <w:sz w:val="20"/>
          <w:szCs w:val="20"/>
        </w:rPr>
      </w:pPr>
      <w:r w:rsidRPr="00DB31F2">
        <w:rPr>
          <w:rFonts w:ascii="Verdana" w:hAnsi="Verdana" w:cstheme="minorHAnsi"/>
          <w:b/>
          <w:bCs/>
          <w:sz w:val="20"/>
          <w:szCs w:val="20"/>
        </w:rPr>
        <w:t>Please note that all proposals that are planning to involve the use of humans or vertebrae animals/ other organisms covered by the Animals (Scientific Procedures) Act need to contact the RCUK Newton Fund team before submission. Contact details can be found at the bottom of this document.</w:t>
      </w:r>
    </w:p>
    <w:p w14:paraId="77CD35AE" w14:textId="77777777" w:rsidR="00D76716" w:rsidRPr="00562856" w:rsidRDefault="00D76716" w:rsidP="00F95AA8">
      <w:pPr>
        <w:jc w:val="both"/>
        <w:rPr>
          <w:rFonts w:ascii="Verdana" w:hAnsi="Verdana" w:cstheme="minorHAnsi"/>
          <w:b/>
          <w:bCs/>
          <w:sz w:val="20"/>
          <w:szCs w:val="20"/>
          <w:u w:val="single"/>
        </w:rPr>
      </w:pPr>
      <w:r w:rsidRPr="00562856">
        <w:rPr>
          <w:rFonts w:ascii="Verdana" w:hAnsi="Verdana" w:cstheme="minorHAnsi"/>
          <w:b/>
          <w:bCs/>
          <w:sz w:val="20"/>
          <w:szCs w:val="20"/>
          <w:u w:val="single"/>
        </w:rPr>
        <w:t xml:space="preserve">Grant Start Dates </w:t>
      </w:r>
    </w:p>
    <w:p w14:paraId="77CD35AF" w14:textId="19CEB2D8" w:rsidR="00D76716" w:rsidRPr="00562856" w:rsidRDefault="00D76716" w:rsidP="00F95AA8">
      <w:pPr>
        <w:jc w:val="both"/>
        <w:rPr>
          <w:rFonts w:ascii="Verdana" w:hAnsi="Verdana" w:cstheme="minorHAnsi"/>
          <w:bCs/>
          <w:sz w:val="20"/>
          <w:szCs w:val="20"/>
        </w:rPr>
      </w:pPr>
      <w:r w:rsidRPr="00562856">
        <w:rPr>
          <w:rFonts w:ascii="Verdana" w:hAnsi="Verdana" w:cstheme="minorHAnsi"/>
          <w:bCs/>
          <w:sz w:val="20"/>
          <w:szCs w:val="20"/>
        </w:rPr>
        <w:t xml:space="preserve">Due to the tight timescales and funding restrictions of the Newton Fund, UK grants must start by </w:t>
      </w:r>
      <w:r w:rsidR="000C3DB5" w:rsidRPr="00084EC9">
        <w:rPr>
          <w:rFonts w:ascii="Verdana" w:hAnsi="Verdana" w:cstheme="minorHAnsi"/>
          <w:b/>
          <w:bCs/>
          <w:sz w:val="20"/>
          <w:szCs w:val="20"/>
        </w:rPr>
        <w:t>0</w:t>
      </w:r>
      <w:r w:rsidR="007E7840" w:rsidRPr="009311E2">
        <w:rPr>
          <w:rFonts w:ascii="Verdana" w:hAnsi="Verdana" w:cstheme="minorHAnsi"/>
          <w:b/>
          <w:bCs/>
          <w:sz w:val="20"/>
          <w:szCs w:val="20"/>
        </w:rPr>
        <w:t xml:space="preserve">1 </w:t>
      </w:r>
      <w:r w:rsidR="000C3DB5">
        <w:rPr>
          <w:rFonts w:ascii="Verdana" w:hAnsi="Verdana" w:cstheme="minorHAnsi"/>
          <w:b/>
          <w:bCs/>
          <w:sz w:val="20"/>
          <w:szCs w:val="20"/>
        </w:rPr>
        <w:t>Dec</w:t>
      </w:r>
      <w:r w:rsidR="007E7840" w:rsidRPr="009311E2">
        <w:rPr>
          <w:rFonts w:ascii="Verdana" w:hAnsi="Verdana" w:cstheme="minorHAnsi"/>
          <w:b/>
          <w:bCs/>
          <w:sz w:val="20"/>
          <w:szCs w:val="20"/>
        </w:rPr>
        <w:t>ember 2016</w:t>
      </w:r>
      <w:r w:rsidR="007D59AF">
        <w:rPr>
          <w:rFonts w:ascii="Verdana" w:hAnsi="Verdana" w:cstheme="minorHAnsi"/>
          <w:bCs/>
          <w:sz w:val="20"/>
          <w:szCs w:val="20"/>
        </w:rPr>
        <w:t xml:space="preserve">; </w:t>
      </w:r>
      <w:proofErr w:type="spellStart"/>
      <w:r w:rsidR="007D59AF">
        <w:rPr>
          <w:rFonts w:ascii="Verdana" w:hAnsi="Verdana" w:cstheme="minorHAnsi"/>
          <w:bCs/>
          <w:sz w:val="20"/>
          <w:szCs w:val="20"/>
        </w:rPr>
        <w:t>ie</w:t>
      </w:r>
      <w:proofErr w:type="spellEnd"/>
      <w:r w:rsidRPr="00562856">
        <w:rPr>
          <w:rFonts w:ascii="Verdana" w:hAnsi="Verdana" w:cstheme="minorHAnsi"/>
          <w:bCs/>
          <w:sz w:val="20"/>
          <w:szCs w:val="20"/>
        </w:rPr>
        <w:t xml:space="preserve"> the ‘start confirmation’ must be submitted by </w:t>
      </w:r>
      <w:r w:rsidR="00AC2F67">
        <w:rPr>
          <w:rFonts w:ascii="Verdana" w:hAnsi="Verdana" w:cstheme="minorHAnsi"/>
          <w:bCs/>
          <w:sz w:val="20"/>
          <w:szCs w:val="20"/>
        </w:rPr>
        <w:t>0</w:t>
      </w:r>
      <w:r w:rsidR="007E7840" w:rsidRPr="00562856">
        <w:rPr>
          <w:rFonts w:ascii="Verdana" w:hAnsi="Verdana" w:cstheme="minorHAnsi"/>
          <w:bCs/>
          <w:sz w:val="20"/>
          <w:szCs w:val="20"/>
        </w:rPr>
        <w:t>1</w:t>
      </w:r>
      <w:r w:rsidR="00AC2F67">
        <w:rPr>
          <w:rFonts w:ascii="Verdana" w:hAnsi="Verdana" w:cstheme="minorHAnsi"/>
          <w:bCs/>
          <w:sz w:val="20"/>
          <w:szCs w:val="20"/>
        </w:rPr>
        <w:t xml:space="preserve"> Dec</w:t>
      </w:r>
      <w:r w:rsidR="007E7840" w:rsidRPr="00562856">
        <w:rPr>
          <w:rFonts w:ascii="Verdana" w:hAnsi="Verdana" w:cstheme="minorHAnsi"/>
          <w:bCs/>
          <w:sz w:val="20"/>
          <w:szCs w:val="20"/>
        </w:rPr>
        <w:t xml:space="preserve">ember 2016 </w:t>
      </w:r>
      <w:r w:rsidRPr="00562856">
        <w:rPr>
          <w:rFonts w:ascii="Verdana" w:hAnsi="Verdana" w:cstheme="minorHAnsi"/>
          <w:bCs/>
          <w:sz w:val="20"/>
          <w:szCs w:val="20"/>
        </w:rPr>
        <w:t>(this is shorter than the standard 42 days for Research Council grants).</w:t>
      </w:r>
    </w:p>
    <w:p w14:paraId="0E989C40" w14:textId="3A57BE83" w:rsidR="00562856" w:rsidRDefault="00D76716" w:rsidP="00F95AA8">
      <w:pPr>
        <w:jc w:val="both"/>
        <w:rPr>
          <w:rFonts w:ascii="Verdana" w:hAnsi="Verdana" w:cstheme="minorHAnsi"/>
          <w:b/>
          <w:sz w:val="20"/>
          <w:szCs w:val="20"/>
          <w:u w:val="single"/>
        </w:rPr>
      </w:pPr>
      <w:r w:rsidRPr="00562856">
        <w:rPr>
          <w:rFonts w:ascii="Verdana" w:hAnsi="Verdana" w:cstheme="minorHAnsi"/>
          <w:bCs/>
          <w:sz w:val="20"/>
          <w:szCs w:val="20"/>
        </w:rPr>
        <w:t xml:space="preserve">Please refer to the </w:t>
      </w:r>
      <w:hyperlink r:id="rId24" w:history="1">
        <w:r w:rsidRPr="00562856">
          <w:rPr>
            <w:rStyle w:val="Hyperlink"/>
            <w:rFonts w:ascii="Verdana" w:hAnsi="Verdana" w:cstheme="minorHAnsi"/>
            <w:bCs/>
            <w:color w:val="0070C0"/>
            <w:sz w:val="20"/>
            <w:szCs w:val="20"/>
            <w:u w:val="single"/>
          </w:rPr>
          <w:t>RCUK terms and conditions</w:t>
        </w:r>
      </w:hyperlink>
      <w:r w:rsidRPr="00562856">
        <w:rPr>
          <w:rFonts w:ascii="Verdana" w:hAnsi="Verdana" w:cstheme="minorHAnsi"/>
          <w:bCs/>
          <w:color w:val="0070C0"/>
          <w:sz w:val="20"/>
          <w:szCs w:val="20"/>
        </w:rPr>
        <w:t xml:space="preserve"> </w:t>
      </w:r>
      <w:r w:rsidRPr="00562856">
        <w:rPr>
          <w:rFonts w:ascii="Verdana" w:hAnsi="Verdana" w:cstheme="minorHAnsi"/>
          <w:bCs/>
          <w:sz w:val="20"/>
          <w:szCs w:val="20"/>
        </w:rPr>
        <w:t>for information on what the starting procedure entails; please inform the relevant support staff in your organisation of this requirement to ensure the project starts on time.</w:t>
      </w:r>
      <w:r w:rsidR="00061F22">
        <w:rPr>
          <w:rFonts w:ascii="Verdana" w:hAnsi="Verdana" w:cstheme="minorHAnsi"/>
          <w:b/>
          <w:sz w:val="20"/>
          <w:szCs w:val="20"/>
          <w:u w:val="single"/>
        </w:rPr>
        <w:br/>
      </w:r>
    </w:p>
    <w:p w14:paraId="77CD35B1" w14:textId="77777777" w:rsidR="00D76716" w:rsidRPr="00562856" w:rsidRDefault="00D76716" w:rsidP="00F95AA8">
      <w:pPr>
        <w:jc w:val="both"/>
        <w:rPr>
          <w:rFonts w:ascii="Verdana" w:hAnsi="Verdana" w:cstheme="minorHAnsi"/>
          <w:b/>
          <w:sz w:val="20"/>
          <w:szCs w:val="20"/>
          <w:u w:val="single"/>
        </w:rPr>
      </w:pPr>
      <w:r w:rsidRPr="00562856">
        <w:rPr>
          <w:rFonts w:ascii="Verdana" w:hAnsi="Verdana" w:cstheme="minorHAnsi"/>
          <w:b/>
          <w:sz w:val="20"/>
          <w:szCs w:val="20"/>
          <w:u w:val="single"/>
        </w:rPr>
        <w:t>Assessment criteria and decision making process</w:t>
      </w:r>
    </w:p>
    <w:p w14:paraId="77CD35B2" w14:textId="71C54876" w:rsidR="00D76716" w:rsidRDefault="00D76716" w:rsidP="00F95AA8">
      <w:pPr>
        <w:jc w:val="both"/>
        <w:rPr>
          <w:rFonts w:ascii="Verdana" w:hAnsi="Verdana" w:cstheme="minorHAnsi"/>
          <w:sz w:val="20"/>
          <w:szCs w:val="20"/>
        </w:rPr>
      </w:pPr>
      <w:r w:rsidRPr="00562856">
        <w:rPr>
          <w:rFonts w:ascii="Verdana" w:hAnsi="Verdana" w:cstheme="minorHAnsi"/>
          <w:sz w:val="20"/>
          <w:szCs w:val="20"/>
        </w:rPr>
        <w:t xml:space="preserve">Following submission, </w:t>
      </w:r>
      <w:r w:rsidR="007E7840" w:rsidRPr="00562856">
        <w:rPr>
          <w:rFonts w:ascii="Verdana" w:hAnsi="Verdana" w:cstheme="minorHAnsi"/>
          <w:sz w:val="20"/>
          <w:szCs w:val="20"/>
        </w:rPr>
        <w:t xml:space="preserve">applications will be checked for eligibility under the </w:t>
      </w:r>
      <w:r w:rsidR="00C773FE" w:rsidRPr="00562856">
        <w:rPr>
          <w:rFonts w:ascii="Verdana" w:hAnsi="Verdana" w:cstheme="minorHAnsi"/>
          <w:sz w:val="20"/>
          <w:szCs w:val="20"/>
        </w:rPr>
        <w:t>relevant</w:t>
      </w:r>
      <w:r w:rsidR="007E7840" w:rsidRPr="00562856">
        <w:rPr>
          <w:rFonts w:ascii="Verdana" w:hAnsi="Verdana" w:cstheme="minorHAnsi"/>
          <w:sz w:val="20"/>
          <w:szCs w:val="20"/>
        </w:rPr>
        <w:t xml:space="preserve"> funding agency’s rules, you must be eligible under all of the funding agencies your proposal comes under in order to go through to assessment</w:t>
      </w:r>
      <w:r w:rsidRPr="00562856">
        <w:rPr>
          <w:rFonts w:ascii="Verdana" w:hAnsi="Verdana" w:cstheme="minorHAnsi"/>
          <w:sz w:val="20"/>
          <w:szCs w:val="20"/>
        </w:rPr>
        <w:t xml:space="preserve">. To be funded, proposals must be internationally competitive and at a standard equivalent to that normally expected to be supported by each funding organisation. </w:t>
      </w:r>
    </w:p>
    <w:p w14:paraId="615A9AA1" w14:textId="35C978E0" w:rsidR="00357AD3" w:rsidRPr="00186349" w:rsidRDefault="00357AD3" w:rsidP="00F95AA8">
      <w:pPr>
        <w:jc w:val="both"/>
        <w:rPr>
          <w:rFonts w:ascii="Verdana" w:hAnsi="Verdana"/>
          <w:sz w:val="20"/>
          <w:szCs w:val="20"/>
          <w:lang w:val="en"/>
        </w:rPr>
      </w:pPr>
      <w:r w:rsidRPr="00186349">
        <w:rPr>
          <w:rFonts w:ascii="Verdana" w:hAnsi="Verdana"/>
          <w:sz w:val="20"/>
          <w:szCs w:val="20"/>
          <w:lang w:val="en"/>
        </w:rPr>
        <w:t>An independent assessment process will be</w:t>
      </w:r>
      <w:r w:rsidRPr="00357AD3">
        <w:rPr>
          <w:rFonts w:ascii="Verdana" w:hAnsi="Verdana"/>
          <w:sz w:val="20"/>
          <w:szCs w:val="20"/>
          <w:lang w:val="en"/>
        </w:rPr>
        <w:t xml:space="preserve"> led by RCUK and</w:t>
      </w:r>
      <w:r>
        <w:rPr>
          <w:rFonts w:ascii="Verdana" w:hAnsi="Verdana"/>
          <w:sz w:val="20"/>
          <w:szCs w:val="20"/>
          <w:lang w:val="en"/>
        </w:rPr>
        <w:t xml:space="preserve"> </w:t>
      </w:r>
      <w:r w:rsidR="00C77003">
        <w:rPr>
          <w:rFonts w:ascii="Verdana" w:hAnsi="Verdana" w:cstheme="minorHAnsi"/>
          <w:sz w:val="20"/>
        </w:rPr>
        <w:t>DIPI</w:t>
      </w:r>
      <w:r>
        <w:rPr>
          <w:rFonts w:ascii="Verdana" w:hAnsi="Verdana" w:cstheme="minorHAnsi"/>
          <w:sz w:val="20"/>
        </w:rPr>
        <w:t xml:space="preserve">, </w:t>
      </w:r>
      <w:r w:rsidRPr="008E3DEC">
        <w:rPr>
          <w:rFonts w:ascii="Verdana" w:hAnsi="Verdana" w:cstheme="minorHAnsi"/>
          <w:sz w:val="20"/>
        </w:rPr>
        <w:t>Ristekdikti</w:t>
      </w:r>
      <w:r>
        <w:rPr>
          <w:rFonts w:ascii="Verdana" w:hAnsi="Verdana" w:cstheme="minorHAnsi"/>
          <w:sz w:val="20"/>
        </w:rPr>
        <w:t xml:space="preserve">, </w:t>
      </w:r>
      <w:r w:rsidRPr="008E3DEC">
        <w:rPr>
          <w:rFonts w:ascii="Verdana" w:hAnsi="Verdana" w:cstheme="minorHAnsi"/>
          <w:sz w:val="20"/>
        </w:rPr>
        <w:t>MoHE</w:t>
      </w:r>
      <w:r>
        <w:rPr>
          <w:rFonts w:ascii="Verdana" w:hAnsi="Verdana" w:cstheme="minorHAnsi"/>
          <w:sz w:val="20"/>
        </w:rPr>
        <w:t>,</w:t>
      </w:r>
      <w:r w:rsidRPr="008E3DEC">
        <w:rPr>
          <w:rFonts w:ascii="Verdana" w:hAnsi="Verdana" w:cstheme="minorHAnsi"/>
          <w:sz w:val="20"/>
        </w:rPr>
        <w:t xml:space="preserve"> DOST</w:t>
      </w:r>
      <w:r>
        <w:rPr>
          <w:rFonts w:ascii="Verdana" w:hAnsi="Verdana" w:cstheme="minorHAnsi"/>
          <w:sz w:val="20"/>
        </w:rPr>
        <w:t>,</w:t>
      </w:r>
      <w:r w:rsidR="00552D4C">
        <w:rPr>
          <w:rFonts w:ascii="Verdana" w:hAnsi="Verdana" w:cstheme="minorHAnsi"/>
          <w:sz w:val="20"/>
        </w:rPr>
        <w:t xml:space="preserve"> and </w:t>
      </w:r>
      <w:r w:rsidR="00C773FE" w:rsidRPr="008E3DEC">
        <w:rPr>
          <w:rFonts w:ascii="Verdana" w:hAnsi="Verdana" w:cstheme="minorHAnsi"/>
          <w:sz w:val="20"/>
        </w:rPr>
        <w:t>TRF</w:t>
      </w:r>
      <w:r w:rsidR="00C773FE">
        <w:rPr>
          <w:rFonts w:ascii="Verdana" w:hAnsi="Verdana" w:cstheme="minorHAnsi"/>
          <w:sz w:val="20"/>
        </w:rPr>
        <w:t xml:space="preserve"> depending</w:t>
      </w:r>
      <w:r>
        <w:rPr>
          <w:rFonts w:ascii="Verdana" w:hAnsi="Verdana" w:cstheme="minorHAnsi"/>
          <w:sz w:val="20"/>
        </w:rPr>
        <w:t xml:space="preserve"> on the thematic area</w:t>
      </w:r>
      <w:r w:rsidRPr="00186349">
        <w:rPr>
          <w:rFonts w:ascii="Verdana" w:hAnsi="Verdana"/>
          <w:sz w:val="20"/>
          <w:szCs w:val="20"/>
          <w:lang w:val="en"/>
        </w:rPr>
        <w:t>.  All funders will fully contribute to the process, in th</w:t>
      </w:r>
      <w:r w:rsidRPr="00357AD3">
        <w:rPr>
          <w:rFonts w:ascii="Verdana" w:hAnsi="Verdana"/>
          <w:sz w:val="20"/>
          <w:szCs w:val="20"/>
          <w:lang w:val="en"/>
        </w:rPr>
        <w:t>e form of formulating guidance</w:t>
      </w:r>
      <w:r>
        <w:rPr>
          <w:rFonts w:ascii="Verdana" w:hAnsi="Verdana"/>
          <w:sz w:val="20"/>
          <w:szCs w:val="20"/>
          <w:lang w:val="en"/>
        </w:rPr>
        <w:t xml:space="preserve"> and </w:t>
      </w:r>
      <w:r w:rsidRPr="00186349">
        <w:rPr>
          <w:rFonts w:ascii="Verdana" w:hAnsi="Verdana"/>
          <w:sz w:val="20"/>
          <w:szCs w:val="20"/>
          <w:lang w:val="en"/>
        </w:rPr>
        <w:t>suggesting p</w:t>
      </w:r>
      <w:r w:rsidRPr="00357AD3">
        <w:rPr>
          <w:rFonts w:ascii="Verdana" w:hAnsi="Verdana"/>
          <w:sz w:val="20"/>
          <w:szCs w:val="20"/>
          <w:lang w:val="en"/>
        </w:rPr>
        <w:t>anel members</w:t>
      </w:r>
      <w:r w:rsidRPr="00186349">
        <w:rPr>
          <w:rFonts w:ascii="Verdana" w:hAnsi="Verdana"/>
          <w:sz w:val="20"/>
          <w:szCs w:val="20"/>
          <w:lang w:val="en"/>
        </w:rPr>
        <w:t xml:space="preserve">. Applications and </w:t>
      </w:r>
      <w:r>
        <w:rPr>
          <w:rFonts w:ascii="Verdana" w:hAnsi="Verdana"/>
          <w:sz w:val="20"/>
          <w:szCs w:val="20"/>
          <w:lang w:val="en"/>
        </w:rPr>
        <w:t xml:space="preserve">panel meeting </w:t>
      </w:r>
      <w:r w:rsidRPr="00186349">
        <w:rPr>
          <w:rFonts w:ascii="Verdana" w:hAnsi="Verdana"/>
          <w:sz w:val="20"/>
          <w:szCs w:val="20"/>
          <w:lang w:val="en"/>
        </w:rPr>
        <w:t xml:space="preserve">comments will be shared between </w:t>
      </w:r>
      <w:r>
        <w:rPr>
          <w:rFonts w:ascii="Verdana" w:hAnsi="Verdana"/>
          <w:sz w:val="20"/>
          <w:szCs w:val="20"/>
          <w:lang w:val="en"/>
        </w:rPr>
        <w:t xml:space="preserve">relevant </w:t>
      </w:r>
      <w:r w:rsidRPr="00186349">
        <w:rPr>
          <w:rFonts w:ascii="Verdana" w:hAnsi="Verdana"/>
          <w:sz w:val="20"/>
          <w:szCs w:val="20"/>
          <w:lang w:val="en"/>
        </w:rPr>
        <w:t>funders.</w:t>
      </w:r>
    </w:p>
    <w:p w14:paraId="2FB26B00" w14:textId="29AFB5E1" w:rsidR="00357AD3" w:rsidRPr="00AC2F67" w:rsidRDefault="00357AD3" w:rsidP="00F95AA8">
      <w:pPr>
        <w:jc w:val="both"/>
        <w:rPr>
          <w:rFonts w:ascii="Verdana" w:hAnsi="Verdana"/>
          <w:sz w:val="20"/>
          <w:szCs w:val="20"/>
        </w:rPr>
      </w:pPr>
      <w:r w:rsidRPr="00186349">
        <w:rPr>
          <w:rFonts w:ascii="Verdana" w:hAnsi="Verdana"/>
          <w:sz w:val="20"/>
          <w:szCs w:val="20"/>
          <w:lang w:val="en"/>
        </w:rPr>
        <w:t>The grants will be assessed by an independent panel formed from suggestions from all of the funders</w:t>
      </w:r>
      <w:r>
        <w:rPr>
          <w:rFonts w:ascii="Verdana" w:hAnsi="Verdana"/>
          <w:sz w:val="20"/>
          <w:szCs w:val="20"/>
          <w:lang w:val="en"/>
        </w:rPr>
        <w:t xml:space="preserve"> involved in each thematic area</w:t>
      </w:r>
      <w:r w:rsidRPr="00357AD3">
        <w:rPr>
          <w:rFonts w:ascii="Verdana" w:hAnsi="Verdana"/>
          <w:sz w:val="20"/>
          <w:szCs w:val="20"/>
          <w:lang w:val="en"/>
        </w:rPr>
        <w:t>. </w:t>
      </w:r>
      <w:r>
        <w:rPr>
          <w:rFonts w:ascii="Verdana" w:hAnsi="Verdana"/>
          <w:sz w:val="20"/>
          <w:szCs w:val="20"/>
          <w:lang w:val="en"/>
        </w:rPr>
        <w:t xml:space="preserve">Depending on demand, the panel may shortlist the applications received, and applicants will be contacted if this is the case. </w:t>
      </w:r>
    </w:p>
    <w:p w14:paraId="77CD35B3" w14:textId="76ED66FE" w:rsidR="006D5636" w:rsidRPr="00562856" w:rsidRDefault="007E7840" w:rsidP="00F95AA8">
      <w:pPr>
        <w:spacing w:after="0" w:line="240" w:lineRule="auto"/>
        <w:jc w:val="both"/>
        <w:rPr>
          <w:rFonts w:ascii="Verdana" w:eastAsia="Calibri" w:hAnsi="Verdana" w:cstheme="minorHAnsi"/>
          <w:sz w:val="20"/>
          <w:szCs w:val="20"/>
        </w:rPr>
      </w:pPr>
      <w:r w:rsidRPr="00562856">
        <w:rPr>
          <w:rFonts w:ascii="Verdana" w:hAnsi="Verdana" w:cstheme="minorHAnsi"/>
          <w:sz w:val="20"/>
          <w:szCs w:val="20"/>
        </w:rPr>
        <w:t xml:space="preserve">At the panel meeting proposals will be assessed by international experts chosen from all participating funding agencies </w:t>
      </w:r>
      <w:r w:rsidR="006D5636" w:rsidRPr="00562856">
        <w:rPr>
          <w:rFonts w:ascii="Verdana" w:eastAsia="Calibri" w:hAnsi="Verdana" w:cstheme="minorHAnsi"/>
          <w:sz w:val="20"/>
          <w:szCs w:val="20"/>
        </w:rPr>
        <w:t xml:space="preserve">against the following criteria: </w:t>
      </w:r>
    </w:p>
    <w:p w14:paraId="77CD35B4" w14:textId="77777777" w:rsidR="007C25B9" w:rsidRPr="00562856" w:rsidRDefault="007C25B9" w:rsidP="00F95AA8">
      <w:pPr>
        <w:spacing w:after="0" w:line="240" w:lineRule="auto"/>
        <w:jc w:val="both"/>
        <w:rPr>
          <w:rFonts w:ascii="Verdana" w:eastAsia="Calibri" w:hAnsi="Verdana" w:cstheme="minorHAnsi"/>
          <w:sz w:val="20"/>
          <w:szCs w:val="20"/>
        </w:rPr>
      </w:pPr>
    </w:p>
    <w:p w14:paraId="77CD35B5" w14:textId="77777777" w:rsidR="007C25B9" w:rsidRPr="00562856" w:rsidRDefault="007C25B9" w:rsidP="00F95AA8">
      <w:pPr>
        <w:pStyle w:val="ListParagraph"/>
        <w:numPr>
          <w:ilvl w:val="0"/>
          <w:numId w:val="10"/>
        </w:numPr>
        <w:jc w:val="both"/>
        <w:rPr>
          <w:rFonts w:ascii="Verdana" w:hAnsi="Verdana" w:cstheme="minorHAnsi"/>
          <w:sz w:val="20"/>
          <w:szCs w:val="20"/>
          <w:lang w:val="en" w:eastAsia="en-GB"/>
        </w:rPr>
      </w:pPr>
      <w:r w:rsidRPr="00562856">
        <w:rPr>
          <w:rFonts w:ascii="Verdana" w:hAnsi="Verdana" w:cstheme="minorHAnsi"/>
          <w:sz w:val="20"/>
          <w:szCs w:val="20"/>
          <w:lang w:val="en" w:eastAsia="en-GB"/>
        </w:rPr>
        <w:t>Research merit of the proposal</w:t>
      </w:r>
      <w:r w:rsidRPr="00562856">
        <w:rPr>
          <w:rFonts w:ascii="Verdana" w:hAnsi="Verdana" w:cstheme="minorHAnsi"/>
          <w:sz w:val="20"/>
          <w:szCs w:val="20"/>
          <w:lang w:val="en" w:eastAsia="en-GB"/>
        </w:rPr>
        <w:tab/>
      </w:r>
    </w:p>
    <w:p w14:paraId="77CD35B6" w14:textId="77777777" w:rsidR="007C25B9" w:rsidRPr="00562856" w:rsidRDefault="007C25B9" w:rsidP="00F95AA8">
      <w:pPr>
        <w:pStyle w:val="ListParagraph"/>
        <w:numPr>
          <w:ilvl w:val="0"/>
          <w:numId w:val="10"/>
        </w:numPr>
        <w:jc w:val="both"/>
        <w:rPr>
          <w:rFonts w:ascii="Verdana" w:hAnsi="Verdana" w:cstheme="minorHAnsi"/>
          <w:sz w:val="20"/>
          <w:szCs w:val="20"/>
          <w:lang w:val="en" w:eastAsia="en-GB"/>
        </w:rPr>
      </w:pPr>
      <w:r w:rsidRPr="00562856">
        <w:rPr>
          <w:rFonts w:ascii="Verdana" w:hAnsi="Verdana" w:cstheme="minorHAnsi"/>
          <w:sz w:val="20"/>
          <w:szCs w:val="20"/>
          <w:lang w:val="en" w:eastAsia="en-GB"/>
        </w:rPr>
        <w:t>Relevance of the proposal to the strategic objectives of the Newton Fund – including potential benefits and impact</w:t>
      </w:r>
      <w:r w:rsidRPr="00562856">
        <w:rPr>
          <w:rFonts w:ascii="Verdana" w:hAnsi="Verdana" w:cstheme="minorHAnsi"/>
          <w:sz w:val="20"/>
          <w:szCs w:val="20"/>
          <w:lang w:val="en" w:eastAsia="en-GB"/>
        </w:rPr>
        <w:tab/>
      </w:r>
    </w:p>
    <w:p w14:paraId="089DD122" w14:textId="77777777" w:rsidR="00562856" w:rsidRDefault="007C25B9" w:rsidP="00F95AA8">
      <w:pPr>
        <w:pStyle w:val="ListParagraph"/>
        <w:numPr>
          <w:ilvl w:val="0"/>
          <w:numId w:val="10"/>
        </w:numPr>
        <w:jc w:val="both"/>
        <w:rPr>
          <w:rFonts w:ascii="Verdana" w:hAnsi="Verdana" w:cstheme="minorHAnsi"/>
          <w:sz w:val="20"/>
          <w:szCs w:val="20"/>
          <w:lang w:val="en" w:eastAsia="en-GB"/>
        </w:rPr>
      </w:pPr>
      <w:r w:rsidRPr="00562856">
        <w:rPr>
          <w:rFonts w:ascii="Verdana" w:hAnsi="Verdana" w:cstheme="minorHAnsi"/>
          <w:sz w:val="20"/>
          <w:szCs w:val="20"/>
          <w:lang w:val="en" w:eastAsia="en-GB"/>
        </w:rPr>
        <w:t>Strength and appropriateness of proposed partnership and collabor</w:t>
      </w:r>
      <w:r w:rsidR="00562856">
        <w:rPr>
          <w:rFonts w:ascii="Verdana" w:hAnsi="Verdana" w:cstheme="minorHAnsi"/>
          <w:sz w:val="20"/>
          <w:szCs w:val="20"/>
          <w:lang w:val="en" w:eastAsia="en-GB"/>
        </w:rPr>
        <w:t>ation</w:t>
      </w:r>
    </w:p>
    <w:p w14:paraId="77CD35B8" w14:textId="3578FC8F" w:rsidR="006D5636" w:rsidRDefault="007C25B9" w:rsidP="00F95AA8">
      <w:pPr>
        <w:pStyle w:val="ListParagraph"/>
        <w:numPr>
          <w:ilvl w:val="0"/>
          <w:numId w:val="10"/>
        </w:numPr>
        <w:jc w:val="both"/>
        <w:rPr>
          <w:rFonts w:ascii="Verdana" w:hAnsi="Verdana" w:cstheme="minorHAnsi"/>
          <w:sz w:val="20"/>
          <w:szCs w:val="20"/>
          <w:lang w:val="en" w:eastAsia="en-GB"/>
        </w:rPr>
      </w:pPr>
      <w:r w:rsidRPr="00562856">
        <w:rPr>
          <w:rFonts w:ascii="Verdana" w:hAnsi="Verdana" w:cstheme="minorHAnsi"/>
          <w:sz w:val="20"/>
          <w:szCs w:val="20"/>
          <w:lang w:val="en" w:eastAsia="en-GB"/>
        </w:rPr>
        <w:t xml:space="preserve">Project management structure and resources, including value for </w:t>
      </w:r>
      <w:r w:rsidR="007E7840" w:rsidRPr="00562856">
        <w:rPr>
          <w:rFonts w:ascii="Verdana" w:hAnsi="Verdana" w:cstheme="minorHAnsi"/>
          <w:sz w:val="20"/>
          <w:szCs w:val="20"/>
          <w:lang w:val="en" w:eastAsia="en-GB"/>
        </w:rPr>
        <w:t>money</w:t>
      </w:r>
    </w:p>
    <w:p w14:paraId="421C215E" w14:textId="77777777" w:rsidR="00562856" w:rsidRDefault="00562856" w:rsidP="00F95AA8">
      <w:pPr>
        <w:jc w:val="both"/>
        <w:rPr>
          <w:rFonts w:ascii="Verdana" w:hAnsi="Verdana" w:cstheme="minorHAnsi"/>
          <w:b/>
          <w:bCs/>
          <w:sz w:val="20"/>
          <w:szCs w:val="20"/>
          <w:u w:val="single"/>
        </w:rPr>
      </w:pPr>
    </w:p>
    <w:p w14:paraId="77CD35B9" w14:textId="77777777" w:rsidR="00A93C2F" w:rsidRPr="00562856" w:rsidRDefault="00A93C2F" w:rsidP="00F95AA8">
      <w:pPr>
        <w:jc w:val="both"/>
        <w:rPr>
          <w:rFonts w:ascii="Verdana" w:hAnsi="Verdana" w:cstheme="minorHAnsi"/>
          <w:sz w:val="20"/>
          <w:szCs w:val="20"/>
          <w:u w:val="single"/>
        </w:rPr>
      </w:pPr>
      <w:r w:rsidRPr="00562856">
        <w:rPr>
          <w:rFonts w:ascii="Verdana" w:hAnsi="Verdana" w:cstheme="minorHAnsi"/>
          <w:b/>
          <w:bCs/>
          <w:sz w:val="20"/>
          <w:szCs w:val="20"/>
          <w:u w:val="single"/>
        </w:rPr>
        <w:t xml:space="preserve">Contacts </w:t>
      </w:r>
    </w:p>
    <w:p w14:paraId="77CD35BA" w14:textId="77777777" w:rsidR="00A93C2F" w:rsidRPr="00562856" w:rsidRDefault="00A93C2F" w:rsidP="00F95AA8">
      <w:pPr>
        <w:jc w:val="both"/>
        <w:rPr>
          <w:rFonts w:ascii="Verdana" w:hAnsi="Verdana" w:cstheme="minorHAnsi"/>
          <w:sz w:val="20"/>
          <w:szCs w:val="20"/>
        </w:rPr>
      </w:pPr>
      <w:r w:rsidRPr="00562856">
        <w:rPr>
          <w:rFonts w:ascii="Verdana" w:hAnsi="Verdana" w:cstheme="minorHAnsi"/>
          <w:sz w:val="20"/>
          <w:szCs w:val="20"/>
        </w:rPr>
        <w:lastRenderedPageBreak/>
        <w:t xml:space="preserve">Any enquiries related to this call should be directed to: </w:t>
      </w:r>
    </w:p>
    <w:p w14:paraId="77CD35BB" w14:textId="77777777" w:rsidR="00A93C2F" w:rsidRPr="00562856" w:rsidRDefault="00A93C2F" w:rsidP="00F95AA8">
      <w:pPr>
        <w:pStyle w:val="NoSpacing"/>
        <w:jc w:val="both"/>
        <w:rPr>
          <w:b/>
        </w:rPr>
      </w:pPr>
      <w:r w:rsidRPr="00562856">
        <w:rPr>
          <w:b/>
        </w:rPr>
        <w:t>RCUK</w:t>
      </w:r>
    </w:p>
    <w:p w14:paraId="77CD35BC" w14:textId="5ADB90C7" w:rsidR="00A93C2F" w:rsidRPr="00562856" w:rsidRDefault="007E7840" w:rsidP="00F95AA8">
      <w:pPr>
        <w:pStyle w:val="NoSpacing"/>
        <w:jc w:val="both"/>
      </w:pPr>
      <w:r w:rsidRPr="00562856">
        <w:t>Kim Fuggle</w:t>
      </w:r>
    </w:p>
    <w:p w14:paraId="77CD35BD" w14:textId="40DE3E68" w:rsidR="00A93C2F" w:rsidRPr="00562856" w:rsidRDefault="00A93C2F" w:rsidP="00F95AA8">
      <w:pPr>
        <w:pStyle w:val="NoSpacing"/>
        <w:jc w:val="both"/>
        <w:rPr>
          <w:color w:val="0000FF"/>
        </w:rPr>
      </w:pPr>
      <w:r w:rsidRPr="00562856">
        <w:t xml:space="preserve">Email: </w:t>
      </w:r>
      <w:r w:rsidR="00562856" w:rsidRPr="00562856">
        <w:rPr>
          <w:color w:val="0070C0"/>
          <w:u w:val="single"/>
        </w:rPr>
        <w:t>RCUKNewtonFundEnquiries@rcuk.ac.uk</w:t>
      </w:r>
    </w:p>
    <w:p w14:paraId="77CD35BE" w14:textId="77777777" w:rsidR="00A93C2F" w:rsidRDefault="00A93C2F" w:rsidP="00F95AA8">
      <w:pPr>
        <w:pStyle w:val="NoSpacing"/>
        <w:jc w:val="both"/>
      </w:pPr>
      <w:r w:rsidRPr="00562856">
        <w:t xml:space="preserve">Phone: +44 (0) 01793 </w:t>
      </w:r>
      <w:r w:rsidR="007C25B9" w:rsidRPr="00562856">
        <w:t>444352</w:t>
      </w:r>
    </w:p>
    <w:p w14:paraId="720DD733" w14:textId="77777777" w:rsidR="00562856" w:rsidRPr="00562856" w:rsidRDefault="00562856" w:rsidP="00F95AA8">
      <w:pPr>
        <w:pStyle w:val="NoSpacing"/>
        <w:jc w:val="both"/>
      </w:pPr>
    </w:p>
    <w:p w14:paraId="1E3E8C81" w14:textId="77777777" w:rsidR="005F3EB2" w:rsidRPr="005F3EB2" w:rsidRDefault="005F3EB2" w:rsidP="00F95AA8">
      <w:pPr>
        <w:pStyle w:val="NoSpacing"/>
        <w:jc w:val="both"/>
        <w:rPr>
          <w:b/>
        </w:rPr>
      </w:pPr>
      <w:r w:rsidRPr="005F3EB2">
        <w:rPr>
          <w:b/>
        </w:rPr>
        <w:t>DIPI</w:t>
      </w:r>
    </w:p>
    <w:p w14:paraId="60A0E4C9" w14:textId="77777777" w:rsidR="005F3EB2" w:rsidRPr="008124F5" w:rsidRDefault="005F3EB2" w:rsidP="00F95AA8">
      <w:pPr>
        <w:pStyle w:val="NoSpacing"/>
        <w:jc w:val="both"/>
      </w:pPr>
      <w:r w:rsidRPr="008124F5">
        <w:t>Vanny Narita</w:t>
      </w:r>
    </w:p>
    <w:p w14:paraId="1775EE81" w14:textId="77777777" w:rsidR="005F3EB2" w:rsidRPr="008124F5" w:rsidRDefault="005F3EB2" w:rsidP="00F95AA8">
      <w:pPr>
        <w:pStyle w:val="NoSpacing"/>
        <w:jc w:val="both"/>
      </w:pPr>
      <w:r w:rsidRPr="008124F5">
        <w:t>Email: dipi-rcuk@dipi.id</w:t>
      </w:r>
    </w:p>
    <w:p w14:paraId="224B8B87" w14:textId="77777777" w:rsidR="005F3EB2" w:rsidRPr="005F3EB2" w:rsidRDefault="005F3EB2" w:rsidP="00F95AA8">
      <w:pPr>
        <w:pStyle w:val="NoSpacing"/>
        <w:jc w:val="both"/>
        <w:rPr>
          <w:b/>
        </w:rPr>
      </w:pPr>
    </w:p>
    <w:p w14:paraId="47348A84" w14:textId="77777777" w:rsidR="005F3EB2" w:rsidRPr="005F3EB2" w:rsidRDefault="005F3EB2" w:rsidP="00F95AA8">
      <w:pPr>
        <w:pStyle w:val="NoSpacing"/>
        <w:jc w:val="both"/>
        <w:rPr>
          <w:b/>
        </w:rPr>
      </w:pPr>
      <w:r w:rsidRPr="005F3EB2">
        <w:rPr>
          <w:b/>
        </w:rPr>
        <w:t>Ristekdikti</w:t>
      </w:r>
    </w:p>
    <w:p w14:paraId="45B2C6F0" w14:textId="77777777" w:rsidR="005F3EB2" w:rsidRPr="008124F5" w:rsidRDefault="005F3EB2" w:rsidP="00F95AA8">
      <w:pPr>
        <w:pStyle w:val="NoSpacing"/>
        <w:jc w:val="both"/>
      </w:pPr>
      <w:r w:rsidRPr="008124F5">
        <w:t>Hary Soebagyo</w:t>
      </w:r>
    </w:p>
    <w:p w14:paraId="2CBF85AB" w14:textId="6C8E131D" w:rsidR="005F3EB2" w:rsidRDefault="005F3EB2" w:rsidP="00F95AA8">
      <w:pPr>
        <w:pStyle w:val="NoSpacing"/>
        <w:jc w:val="both"/>
      </w:pPr>
      <w:r w:rsidRPr="008124F5">
        <w:t xml:space="preserve">Email: </w:t>
      </w:r>
      <w:hyperlink r:id="rId25" w:history="1">
        <w:r w:rsidRPr="008124F5">
          <w:rPr>
            <w:rStyle w:val="Hyperlink"/>
          </w:rPr>
          <w:t>simlitabmas@dikti.go.id</w:t>
        </w:r>
      </w:hyperlink>
    </w:p>
    <w:p w14:paraId="1805A821" w14:textId="77777777" w:rsidR="00562856" w:rsidRPr="00562856" w:rsidRDefault="00562856" w:rsidP="00F95AA8">
      <w:pPr>
        <w:pStyle w:val="NoSpacing"/>
        <w:jc w:val="both"/>
        <w:rPr>
          <w:b/>
        </w:rPr>
      </w:pPr>
    </w:p>
    <w:p w14:paraId="42B17214" w14:textId="77777777" w:rsidR="00562856" w:rsidRPr="00562856" w:rsidRDefault="00562856" w:rsidP="00F95AA8">
      <w:pPr>
        <w:pStyle w:val="NoSpacing"/>
        <w:jc w:val="both"/>
        <w:rPr>
          <w:b/>
        </w:rPr>
      </w:pPr>
      <w:r w:rsidRPr="00562856">
        <w:rPr>
          <w:b/>
        </w:rPr>
        <w:t>MoHE</w:t>
      </w:r>
    </w:p>
    <w:p w14:paraId="05DE7E98" w14:textId="77777777" w:rsidR="006B6551" w:rsidRPr="008124F5" w:rsidRDefault="006B6551" w:rsidP="00F95AA8">
      <w:pPr>
        <w:pStyle w:val="NoSpacing"/>
        <w:jc w:val="both"/>
      </w:pPr>
      <w:r w:rsidRPr="008124F5">
        <w:t xml:space="preserve">Special Grants and Promotion Unit, </w:t>
      </w:r>
    </w:p>
    <w:p w14:paraId="43AB2EDD" w14:textId="5193DF63" w:rsidR="006B6551" w:rsidRPr="008124F5" w:rsidRDefault="006B6551" w:rsidP="00F95AA8">
      <w:pPr>
        <w:pStyle w:val="NoSpacing"/>
        <w:jc w:val="both"/>
      </w:pPr>
      <w:r w:rsidRPr="008124F5">
        <w:t>Higher Education Instituti</w:t>
      </w:r>
      <w:r w:rsidR="0044419B">
        <w:t>on Excellence Planning Division (HEIEP)</w:t>
      </w:r>
    </w:p>
    <w:p w14:paraId="19319D1E" w14:textId="77777777" w:rsidR="006B6551" w:rsidRPr="008124F5" w:rsidRDefault="006B6551" w:rsidP="00F95AA8">
      <w:pPr>
        <w:pStyle w:val="NoSpacing"/>
        <w:jc w:val="both"/>
      </w:pPr>
      <w:r w:rsidRPr="008124F5">
        <w:t xml:space="preserve">Department of Higher Education </w:t>
      </w:r>
    </w:p>
    <w:p w14:paraId="1F6550A8" w14:textId="77777777" w:rsidR="006B6551" w:rsidRPr="008124F5" w:rsidRDefault="006B6551" w:rsidP="00F95AA8">
      <w:pPr>
        <w:pStyle w:val="NoSpacing"/>
        <w:jc w:val="both"/>
      </w:pPr>
      <w:r w:rsidRPr="008124F5">
        <w:t xml:space="preserve">Ministry of Higher Education </w:t>
      </w:r>
    </w:p>
    <w:p w14:paraId="0CD3FED2" w14:textId="77777777" w:rsidR="006B6551" w:rsidRPr="008124F5" w:rsidRDefault="006B6551" w:rsidP="00F95AA8">
      <w:pPr>
        <w:pStyle w:val="NoSpacing"/>
        <w:jc w:val="both"/>
      </w:pPr>
    </w:p>
    <w:p w14:paraId="3BE38433" w14:textId="77777777" w:rsidR="006B6551" w:rsidRPr="008124F5" w:rsidRDefault="006B6551" w:rsidP="00F95AA8">
      <w:pPr>
        <w:pStyle w:val="NoSpacing"/>
        <w:jc w:val="both"/>
      </w:pPr>
      <w:r w:rsidRPr="008124F5">
        <w:t xml:space="preserve">Dr. Faizah binti Shaari </w:t>
      </w:r>
    </w:p>
    <w:p w14:paraId="22535E10" w14:textId="77777777" w:rsidR="006B6551" w:rsidRPr="008124F5" w:rsidRDefault="006B6551" w:rsidP="00F95AA8">
      <w:pPr>
        <w:pStyle w:val="NoSpacing"/>
        <w:jc w:val="both"/>
      </w:pPr>
      <w:r w:rsidRPr="008124F5">
        <w:t>Email: faizahs@mohe.gov.my</w:t>
      </w:r>
    </w:p>
    <w:p w14:paraId="734C54DD" w14:textId="77777777" w:rsidR="006B6551" w:rsidRPr="008124F5" w:rsidRDefault="006B6551" w:rsidP="00F95AA8">
      <w:pPr>
        <w:pStyle w:val="NoSpacing"/>
        <w:jc w:val="both"/>
      </w:pPr>
      <w:r w:rsidRPr="008124F5">
        <w:t>Tel. No.: +603-8870 6970</w:t>
      </w:r>
    </w:p>
    <w:p w14:paraId="5260A64F" w14:textId="77777777" w:rsidR="006B6551" w:rsidRPr="008124F5" w:rsidRDefault="006B6551" w:rsidP="00F95AA8">
      <w:pPr>
        <w:pStyle w:val="NoSpacing"/>
        <w:jc w:val="both"/>
      </w:pPr>
      <w:r w:rsidRPr="008124F5">
        <w:t>Fax. No.: +603-8870 6867</w:t>
      </w:r>
    </w:p>
    <w:p w14:paraId="60D9007C" w14:textId="77777777" w:rsidR="006B6551" w:rsidRPr="008124F5" w:rsidRDefault="006B6551" w:rsidP="00F95AA8">
      <w:pPr>
        <w:pStyle w:val="NoSpacing"/>
        <w:jc w:val="both"/>
      </w:pPr>
    </w:p>
    <w:p w14:paraId="7FF48270" w14:textId="77777777" w:rsidR="006B6551" w:rsidRPr="008124F5" w:rsidRDefault="006B6551" w:rsidP="00F95AA8">
      <w:pPr>
        <w:pStyle w:val="NoSpacing"/>
        <w:jc w:val="both"/>
      </w:pPr>
      <w:r w:rsidRPr="008124F5">
        <w:t>Mr. Teo Woo Ken</w:t>
      </w:r>
    </w:p>
    <w:p w14:paraId="623D0A62" w14:textId="77777777" w:rsidR="006B6551" w:rsidRPr="008124F5" w:rsidRDefault="006B6551" w:rsidP="00F95AA8">
      <w:pPr>
        <w:pStyle w:val="NoSpacing"/>
        <w:jc w:val="both"/>
      </w:pPr>
      <w:r w:rsidRPr="008124F5">
        <w:t>Email: teowooken@mohe.gov.my</w:t>
      </w:r>
    </w:p>
    <w:p w14:paraId="5AC429A4" w14:textId="77777777" w:rsidR="006B6551" w:rsidRPr="008124F5" w:rsidRDefault="006B6551" w:rsidP="00F95AA8">
      <w:pPr>
        <w:pStyle w:val="NoSpacing"/>
        <w:jc w:val="both"/>
      </w:pPr>
      <w:r w:rsidRPr="008124F5">
        <w:t>Tel. No.: +603-8870 6971</w:t>
      </w:r>
    </w:p>
    <w:p w14:paraId="2C0FC358" w14:textId="327E62D4" w:rsidR="00562856" w:rsidRPr="008124F5" w:rsidRDefault="006B6551" w:rsidP="00F95AA8">
      <w:pPr>
        <w:pStyle w:val="NoSpacing"/>
        <w:jc w:val="both"/>
      </w:pPr>
      <w:r w:rsidRPr="008124F5">
        <w:t>Fax No.: +603-8870 6867</w:t>
      </w:r>
    </w:p>
    <w:p w14:paraId="35A22839" w14:textId="77777777" w:rsidR="006B6551" w:rsidRPr="00562856" w:rsidRDefault="006B6551" w:rsidP="00F95AA8">
      <w:pPr>
        <w:pStyle w:val="NoSpacing"/>
        <w:jc w:val="both"/>
        <w:rPr>
          <w:b/>
        </w:rPr>
      </w:pPr>
    </w:p>
    <w:p w14:paraId="0B2E1414" w14:textId="5428FE81" w:rsidR="00C03873" w:rsidRPr="008A3310" w:rsidRDefault="00C03873" w:rsidP="00F95AA8">
      <w:pPr>
        <w:pStyle w:val="NoSpacing"/>
        <w:spacing w:line="276" w:lineRule="auto"/>
        <w:jc w:val="both"/>
      </w:pPr>
      <w:r w:rsidRPr="00AB0A30">
        <w:rPr>
          <w:b/>
        </w:rPr>
        <w:t>DOST-PCHRD</w:t>
      </w:r>
    </w:p>
    <w:p w14:paraId="01C4FCF7" w14:textId="77777777" w:rsidR="00C03873" w:rsidRPr="008A3310" w:rsidRDefault="00C03873" w:rsidP="00F95AA8">
      <w:pPr>
        <w:spacing w:after="0"/>
        <w:jc w:val="both"/>
        <w:rPr>
          <w:rFonts w:ascii="Verdana" w:hAnsi="Verdana"/>
          <w:sz w:val="20"/>
          <w:szCs w:val="20"/>
        </w:rPr>
      </w:pPr>
      <w:r w:rsidRPr="00AB0A30">
        <w:t>Jose J. Gepanaga</w:t>
      </w:r>
    </w:p>
    <w:p w14:paraId="7D294976" w14:textId="77777777" w:rsidR="00C03873" w:rsidRPr="008822F6" w:rsidRDefault="00C03873" w:rsidP="00F95AA8">
      <w:pPr>
        <w:pStyle w:val="NoSpacing"/>
        <w:spacing w:line="276" w:lineRule="auto"/>
        <w:jc w:val="both"/>
        <w:rPr>
          <w:color w:val="0000FF"/>
        </w:rPr>
      </w:pPr>
      <w:r w:rsidRPr="00AB0A30">
        <w:t xml:space="preserve">Email: </w:t>
      </w:r>
      <w:r w:rsidRPr="008822F6">
        <w:t>jjgepanaga@pchrd.dost.gov.ph</w:t>
      </w:r>
    </w:p>
    <w:p w14:paraId="33F41F21" w14:textId="77777777" w:rsidR="00C03873" w:rsidRPr="008822F6" w:rsidRDefault="00C03873" w:rsidP="00F95AA8">
      <w:pPr>
        <w:pStyle w:val="NoSpacing"/>
        <w:spacing w:line="276" w:lineRule="auto"/>
        <w:jc w:val="both"/>
      </w:pPr>
      <w:r w:rsidRPr="008822F6">
        <w:t>Phone: +6302 8377535</w:t>
      </w:r>
    </w:p>
    <w:p w14:paraId="375B1353" w14:textId="77777777" w:rsidR="00C03873" w:rsidRPr="008822F6" w:rsidRDefault="00C03873" w:rsidP="00F95AA8">
      <w:pPr>
        <w:pStyle w:val="NoSpacing"/>
        <w:spacing w:line="276" w:lineRule="auto"/>
        <w:jc w:val="both"/>
      </w:pPr>
    </w:p>
    <w:p w14:paraId="3C0124EE" w14:textId="77777777" w:rsidR="00C03873" w:rsidRPr="008822F6" w:rsidRDefault="00C03873" w:rsidP="00F95AA8">
      <w:pPr>
        <w:spacing w:after="0"/>
        <w:jc w:val="both"/>
        <w:rPr>
          <w:rFonts w:ascii="Verdana" w:hAnsi="Verdana"/>
          <w:sz w:val="20"/>
          <w:szCs w:val="20"/>
        </w:rPr>
      </w:pPr>
      <w:r w:rsidRPr="008822F6">
        <w:rPr>
          <w:rFonts w:ascii="Verdana" w:hAnsi="Verdana"/>
          <w:sz w:val="20"/>
          <w:szCs w:val="20"/>
        </w:rPr>
        <w:t>Paulo Sixto J. Landig</w:t>
      </w:r>
    </w:p>
    <w:p w14:paraId="12F286C5" w14:textId="77777777" w:rsidR="00C03873" w:rsidRPr="008822F6" w:rsidRDefault="00C03873" w:rsidP="00F95AA8">
      <w:pPr>
        <w:pStyle w:val="NoSpacing"/>
        <w:spacing w:line="276" w:lineRule="auto"/>
        <w:jc w:val="both"/>
        <w:rPr>
          <w:color w:val="0000FF"/>
        </w:rPr>
      </w:pPr>
      <w:r w:rsidRPr="008822F6">
        <w:t>Email: pjlandig@pchrd.dost.gov.ph</w:t>
      </w:r>
    </w:p>
    <w:p w14:paraId="26D52FEB" w14:textId="77777777" w:rsidR="00C03873" w:rsidRPr="008822F6" w:rsidRDefault="00C03873" w:rsidP="00F95AA8">
      <w:pPr>
        <w:pStyle w:val="NoSpacing"/>
        <w:jc w:val="both"/>
      </w:pPr>
      <w:r w:rsidRPr="008822F6">
        <w:t>Phone: +6302 837753</w:t>
      </w:r>
    </w:p>
    <w:p w14:paraId="1B2675C6" w14:textId="77777777" w:rsidR="004F1BCF" w:rsidRDefault="004F1BCF" w:rsidP="00F95AA8">
      <w:pPr>
        <w:pStyle w:val="NoSpacing"/>
        <w:jc w:val="both"/>
      </w:pPr>
    </w:p>
    <w:p w14:paraId="45DA142F" w14:textId="43B86B56" w:rsidR="004F1BCF" w:rsidRPr="00282EDB" w:rsidRDefault="004F1BCF" w:rsidP="00F95AA8">
      <w:pPr>
        <w:pStyle w:val="NoSpacing"/>
        <w:jc w:val="both"/>
      </w:pPr>
      <w:r w:rsidRPr="00FB48C5">
        <w:rPr>
          <w:b/>
        </w:rPr>
        <w:t>DOST</w:t>
      </w:r>
      <w:r>
        <w:rPr>
          <w:b/>
        </w:rPr>
        <w:t>-</w:t>
      </w:r>
      <w:r w:rsidRPr="00060931">
        <w:rPr>
          <w:b/>
        </w:rPr>
        <w:t>PCIEERD</w:t>
      </w:r>
    </w:p>
    <w:p w14:paraId="0B80CA79" w14:textId="77777777" w:rsidR="004F1BCF" w:rsidRPr="00282EDB" w:rsidRDefault="004F1BCF" w:rsidP="00F95AA8">
      <w:pPr>
        <w:pStyle w:val="NoSpacing"/>
        <w:jc w:val="both"/>
      </w:pPr>
      <w:r w:rsidRPr="00282EDB">
        <w:t>Raul C. Sabularse or Albert G. Mariño</w:t>
      </w:r>
    </w:p>
    <w:p w14:paraId="66E42CA4" w14:textId="77777777" w:rsidR="004F1BCF" w:rsidRPr="00282EDB" w:rsidRDefault="004F1BCF" w:rsidP="00F95AA8">
      <w:pPr>
        <w:pStyle w:val="NoSpacing"/>
        <w:jc w:val="both"/>
      </w:pPr>
      <w:r w:rsidRPr="00282EDB">
        <w:t>Email: raulsabularse@gmail.com; agmarino@pcieerd.dost.gov.ph</w:t>
      </w:r>
    </w:p>
    <w:p w14:paraId="00FF7121" w14:textId="5A91819E" w:rsidR="004F1BCF" w:rsidRPr="00282EDB" w:rsidRDefault="004F1BCF" w:rsidP="00F95AA8">
      <w:pPr>
        <w:pStyle w:val="NoSpacing"/>
        <w:jc w:val="both"/>
      </w:pPr>
      <w:r w:rsidRPr="00282EDB">
        <w:t>Phone: +632 837 7516</w:t>
      </w:r>
    </w:p>
    <w:p w14:paraId="73C5DA23" w14:textId="77777777" w:rsidR="00562856" w:rsidRPr="00562856" w:rsidRDefault="00562856" w:rsidP="00F95AA8">
      <w:pPr>
        <w:pStyle w:val="NoSpacing"/>
        <w:jc w:val="both"/>
        <w:rPr>
          <w:b/>
        </w:rPr>
      </w:pPr>
    </w:p>
    <w:p w14:paraId="2AF63201" w14:textId="77777777" w:rsidR="00562856" w:rsidRPr="00562856" w:rsidRDefault="00562856" w:rsidP="00F95AA8">
      <w:pPr>
        <w:pStyle w:val="NoSpacing"/>
        <w:jc w:val="both"/>
        <w:rPr>
          <w:b/>
        </w:rPr>
      </w:pPr>
      <w:r w:rsidRPr="00562856">
        <w:rPr>
          <w:b/>
        </w:rPr>
        <w:t>TRF</w:t>
      </w:r>
    </w:p>
    <w:p w14:paraId="6DD6DBAE" w14:textId="77777777" w:rsidR="00EC4E45" w:rsidRPr="008124F5" w:rsidRDefault="00EC4E45" w:rsidP="00F95AA8">
      <w:pPr>
        <w:pStyle w:val="NoSpacing"/>
        <w:jc w:val="both"/>
      </w:pPr>
      <w:r w:rsidRPr="008124F5">
        <w:t>Nop Sailamai</w:t>
      </w:r>
    </w:p>
    <w:p w14:paraId="66B6A675" w14:textId="77777777" w:rsidR="00EC4E45" w:rsidRPr="008124F5" w:rsidRDefault="00EC4E45" w:rsidP="00F95AA8">
      <w:pPr>
        <w:pStyle w:val="NoSpacing"/>
        <w:jc w:val="both"/>
      </w:pPr>
      <w:r w:rsidRPr="008124F5">
        <w:t>Email: nop@trf.or.th</w:t>
      </w:r>
    </w:p>
    <w:p w14:paraId="084E6263" w14:textId="081CC746" w:rsidR="00562856" w:rsidRPr="008124F5" w:rsidRDefault="00EC4E45" w:rsidP="00F95AA8">
      <w:pPr>
        <w:pStyle w:val="NoSpacing"/>
        <w:jc w:val="both"/>
      </w:pPr>
      <w:r w:rsidRPr="008124F5">
        <w:t>Phone: +66 (0) 2278 8229</w:t>
      </w:r>
    </w:p>
    <w:p w14:paraId="5680EDDF" w14:textId="77777777" w:rsidR="00DF3FA5" w:rsidRPr="00A93C2F" w:rsidRDefault="00DF3FA5" w:rsidP="00F95AA8">
      <w:pPr>
        <w:jc w:val="both"/>
        <w:rPr>
          <w:rFonts w:ascii="Verdana" w:hAnsi="Verdana"/>
          <w:sz w:val="20"/>
          <w:szCs w:val="20"/>
        </w:rPr>
      </w:pPr>
    </w:p>
    <w:sectPr w:rsidR="00DF3FA5" w:rsidRPr="00A93C2F">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044ED" w14:textId="77777777" w:rsidR="004F246C" w:rsidRDefault="004F246C" w:rsidP="00695811">
      <w:pPr>
        <w:spacing w:after="0" w:line="240" w:lineRule="auto"/>
      </w:pPr>
      <w:r>
        <w:separator/>
      </w:r>
    </w:p>
  </w:endnote>
  <w:endnote w:type="continuationSeparator" w:id="0">
    <w:p w14:paraId="4A009367" w14:textId="77777777" w:rsidR="004F246C" w:rsidRDefault="004F246C" w:rsidP="0069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7CD74" w14:textId="77777777" w:rsidR="004F246C" w:rsidRDefault="004F246C" w:rsidP="00695811">
      <w:pPr>
        <w:spacing w:after="0" w:line="240" w:lineRule="auto"/>
      </w:pPr>
      <w:r>
        <w:separator/>
      </w:r>
    </w:p>
  </w:footnote>
  <w:footnote w:type="continuationSeparator" w:id="0">
    <w:p w14:paraId="75222081" w14:textId="77777777" w:rsidR="004F246C" w:rsidRDefault="004F246C" w:rsidP="00695811">
      <w:pPr>
        <w:spacing w:after="0" w:line="240" w:lineRule="auto"/>
      </w:pPr>
      <w:r>
        <w:continuationSeparator/>
      </w:r>
    </w:p>
  </w:footnote>
  <w:footnote w:id="1">
    <w:p w14:paraId="53F8E6D8" w14:textId="77777777" w:rsidR="00272732" w:rsidRDefault="00272732" w:rsidP="00272732">
      <w:pPr>
        <w:pStyle w:val="FootnoteText"/>
      </w:pPr>
      <w:r>
        <w:rPr>
          <w:rStyle w:val="FootnoteReference"/>
        </w:rPr>
        <w:footnoteRef/>
      </w:r>
      <w:r>
        <w:t xml:space="preserve"> </w:t>
      </w:r>
      <w:hyperlink r:id="rId1" w:history="1">
        <w:r w:rsidRPr="007622D1">
          <w:rPr>
            <w:rStyle w:val="Hyperlink"/>
            <w:rFonts w:cs="Calibri"/>
          </w:rPr>
          <w:t>‘No health without mental health’</w:t>
        </w:r>
      </w:hyperlink>
      <w:r w:rsidRPr="00217CD1">
        <w:rPr>
          <w:rFonts w:cs="Calibri"/>
        </w:rPr>
        <w:t xml:space="preserve"> M. Prince </w:t>
      </w:r>
      <w:r w:rsidRPr="00217CD1">
        <w:rPr>
          <w:rFonts w:cs="Calibri"/>
          <w:i/>
          <w:iCs/>
        </w:rPr>
        <w:t>et al</w:t>
      </w:r>
      <w:r w:rsidRPr="00217CD1">
        <w:rPr>
          <w:rFonts w:cs="Calibri"/>
        </w:rPr>
        <w:t>, The Lancet, September 04, 2007</w:t>
      </w:r>
    </w:p>
  </w:footnote>
  <w:footnote w:id="2">
    <w:p w14:paraId="0EBCBE12" w14:textId="77777777" w:rsidR="00272732" w:rsidRDefault="00272732" w:rsidP="00272732">
      <w:pPr>
        <w:pStyle w:val="FootnoteText"/>
      </w:pPr>
      <w:r>
        <w:rPr>
          <w:rStyle w:val="FootnoteReference"/>
        </w:rPr>
        <w:footnoteRef/>
      </w:r>
      <w:r>
        <w:t xml:space="preserve"> </w:t>
      </w:r>
      <w:hyperlink r:id="rId2" w:history="1">
        <w:r w:rsidRPr="00DD725D">
          <w:rPr>
            <w:rStyle w:val="Hyperlink"/>
          </w:rPr>
          <w:t>‘Mental health in Southeast Asia’</w:t>
        </w:r>
      </w:hyperlink>
      <w:r w:rsidRPr="00217CD1">
        <w:t xml:space="preserve"> A. </w:t>
      </w:r>
      <w:proofErr w:type="spellStart"/>
      <w:r w:rsidRPr="00217CD1">
        <w:t>Maramis</w:t>
      </w:r>
      <w:proofErr w:type="spellEnd"/>
      <w:r w:rsidRPr="00217CD1">
        <w:t xml:space="preserve"> </w:t>
      </w:r>
      <w:r w:rsidRPr="00217CD1">
        <w:rPr>
          <w:i/>
          <w:iCs/>
        </w:rPr>
        <w:t>et al</w:t>
      </w:r>
      <w:r w:rsidRPr="00217CD1">
        <w:t>, The Lancet, January 25, 2011</w:t>
      </w:r>
    </w:p>
  </w:footnote>
  <w:footnote w:id="3">
    <w:p w14:paraId="1A9A8F12" w14:textId="77777777" w:rsidR="00D34197" w:rsidRDefault="00D34197" w:rsidP="00D34197">
      <w:pPr>
        <w:pStyle w:val="FootnoteText"/>
      </w:pPr>
      <w:r>
        <w:rPr>
          <w:rStyle w:val="FootnoteReference"/>
        </w:rPr>
        <w:footnoteRef/>
      </w:r>
      <w:r>
        <w:t xml:space="preserve"> </w:t>
      </w:r>
      <w:r w:rsidRPr="002F0997">
        <w:t xml:space="preserve">IEET ‘The Role of Science and Technology in the Developing World in the 21st Century’, Lee-Roy </w:t>
      </w:r>
      <w:proofErr w:type="spellStart"/>
      <w:r w:rsidRPr="002F0997">
        <w:t>Chetty</w:t>
      </w:r>
      <w:proofErr w:type="spellEnd"/>
      <w:r w:rsidRPr="002F0997">
        <w:t>, 2012</w:t>
      </w:r>
    </w:p>
  </w:footnote>
  <w:footnote w:id="4">
    <w:p w14:paraId="366F75CA" w14:textId="77777777" w:rsidR="00D34197" w:rsidRDefault="00D34197" w:rsidP="00D34197">
      <w:pPr>
        <w:pStyle w:val="FootnoteText"/>
      </w:pPr>
      <w:r>
        <w:rPr>
          <w:rStyle w:val="FootnoteReference"/>
        </w:rPr>
        <w:footnoteRef/>
      </w:r>
      <w:r>
        <w:t xml:space="preserve"> </w:t>
      </w:r>
      <w:r w:rsidRPr="002F0997">
        <w:t>International Astronomy Union Strategic Plan 2010 - 2020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CC0D" w14:textId="17EFF0AA" w:rsidR="008D73F3" w:rsidRDefault="008D7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6AD"/>
    <w:multiLevelType w:val="hybridMultilevel"/>
    <w:tmpl w:val="875421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6FF01EB"/>
    <w:multiLevelType w:val="hybridMultilevel"/>
    <w:tmpl w:val="911C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33609"/>
    <w:multiLevelType w:val="hybridMultilevel"/>
    <w:tmpl w:val="6230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81BFC"/>
    <w:multiLevelType w:val="hybridMultilevel"/>
    <w:tmpl w:val="EE1C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F3682"/>
    <w:multiLevelType w:val="hybridMultilevel"/>
    <w:tmpl w:val="A77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70D18"/>
    <w:multiLevelType w:val="hybridMultilevel"/>
    <w:tmpl w:val="F7AAFC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1BD096E"/>
    <w:multiLevelType w:val="hybridMultilevel"/>
    <w:tmpl w:val="F5F0A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954DBE"/>
    <w:multiLevelType w:val="hybridMultilevel"/>
    <w:tmpl w:val="8076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F15B2"/>
    <w:multiLevelType w:val="hybridMultilevel"/>
    <w:tmpl w:val="F5041C9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C41A09"/>
    <w:multiLevelType w:val="hybridMultilevel"/>
    <w:tmpl w:val="577A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816D5C"/>
    <w:multiLevelType w:val="hybridMultilevel"/>
    <w:tmpl w:val="97EEE9FA"/>
    <w:lvl w:ilvl="0" w:tplc="E5382E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77610"/>
    <w:multiLevelType w:val="hybridMultilevel"/>
    <w:tmpl w:val="36CA75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24E2A19"/>
    <w:multiLevelType w:val="hybridMultilevel"/>
    <w:tmpl w:val="CEDA32B0"/>
    <w:lvl w:ilvl="0" w:tplc="CF74257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D57A7"/>
    <w:multiLevelType w:val="hybridMultilevel"/>
    <w:tmpl w:val="66CE7162"/>
    <w:lvl w:ilvl="0" w:tplc="31C6C0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551061"/>
    <w:multiLevelType w:val="hybridMultilevel"/>
    <w:tmpl w:val="78F84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B04AC3"/>
    <w:multiLevelType w:val="hybridMultilevel"/>
    <w:tmpl w:val="A75E34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845B4D"/>
    <w:multiLevelType w:val="hybridMultilevel"/>
    <w:tmpl w:val="A636E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2AB5261"/>
    <w:multiLevelType w:val="hybridMultilevel"/>
    <w:tmpl w:val="65501EA2"/>
    <w:lvl w:ilvl="0" w:tplc="11B22F2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213A9"/>
    <w:multiLevelType w:val="hybridMultilevel"/>
    <w:tmpl w:val="C9D2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A25E21"/>
    <w:multiLevelType w:val="hybridMultilevel"/>
    <w:tmpl w:val="E4DEBA6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0">
    <w:nsid w:val="49DF3760"/>
    <w:multiLevelType w:val="hybridMultilevel"/>
    <w:tmpl w:val="5A562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11424C"/>
    <w:multiLevelType w:val="hybridMultilevel"/>
    <w:tmpl w:val="49F0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972462"/>
    <w:multiLevelType w:val="hybridMultilevel"/>
    <w:tmpl w:val="F1142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6EE2055"/>
    <w:multiLevelType w:val="hybridMultilevel"/>
    <w:tmpl w:val="1AA4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E23B90"/>
    <w:multiLevelType w:val="hybridMultilevel"/>
    <w:tmpl w:val="8078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016DA5"/>
    <w:multiLevelType w:val="hybridMultilevel"/>
    <w:tmpl w:val="5AB8D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E819EB"/>
    <w:multiLevelType w:val="hybridMultilevel"/>
    <w:tmpl w:val="18A25E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DAA125E"/>
    <w:multiLevelType w:val="hybridMultilevel"/>
    <w:tmpl w:val="A30EED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01D7F56"/>
    <w:multiLevelType w:val="hybridMultilevel"/>
    <w:tmpl w:val="33D6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BA4CEC"/>
    <w:multiLevelType w:val="hybridMultilevel"/>
    <w:tmpl w:val="721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CF3900"/>
    <w:multiLevelType w:val="multilevel"/>
    <w:tmpl w:val="DBC4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5E47D7"/>
    <w:multiLevelType w:val="hybridMultilevel"/>
    <w:tmpl w:val="A544A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4360814"/>
    <w:multiLevelType w:val="hybridMultilevel"/>
    <w:tmpl w:val="09F2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9A6118"/>
    <w:multiLevelType w:val="hybridMultilevel"/>
    <w:tmpl w:val="31EEC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8896B1B"/>
    <w:multiLevelType w:val="hybridMultilevel"/>
    <w:tmpl w:val="8578C3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B536F9F"/>
    <w:multiLevelType w:val="hybridMultilevel"/>
    <w:tmpl w:val="DCE242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0"/>
  </w:num>
  <w:num w:numId="4">
    <w:abstractNumId w:val="20"/>
  </w:num>
  <w:num w:numId="5">
    <w:abstractNumId w:val="29"/>
  </w:num>
  <w:num w:numId="6">
    <w:abstractNumId w:val="16"/>
  </w:num>
  <w:num w:numId="7">
    <w:abstractNumId w:val="33"/>
  </w:num>
  <w:num w:numId="8">
    <w:abstractNumId w:val="22"/>
  </w:num>
  <w:num w:numId="9">
    <w:abstractNumId w:val="0"/>
  </w:num>
  <w:num w:numId="10">
    <w:abstractNumId w:val="21"/>
  </w:num>
  <w:num w:numId="11">
    <w:abstractNumId w:val="32"/>
  </w:num>
  <w:num w:numId="12">
    <w:abstractNumId w:val="1"/>
  </w:num>
  <w:num w:numId="13">
    <w:abstractNumId w:val="24"/>
  </w:num>
  <w:num w:numId="14">
    <w:abstractNumId w:val="30"/>
  </w:num>
  <w:num w:numId="15">
    <w:abstractNumId w:val="6"/>
  </w:num>
  <w:num w:numId="16">
    <w:abstractNumId w:val="25"/>
  </w:num>
  <w:num w:numId="17">
    <w:abstractNumId w:val="5"/>
  </w:num>
  <w:num w:numId="18">
    <w:abstractNumId w:val="26"/>
  </w:num>
  <w:num w:numId="19">
    <w:abstractNumId w:val="27"/>
  </w:num>
  <w:num w:numId="20">
    <w:abstractNumId w:val="34"/>
  </w:num>
  <w:num w:numId="21">
    <w:abstractNumId w:val="35"/>
  </w:num>
  <w:num w:numId="22">
    <w:abstractNumId w:val="11"/>
  </w:num>
  <w:num w:numId="23">
    <w:abstractNumId w:val="15"/>
  </w:num>
  <w:num w:numId="24">
    <w:abstractNumId w:val="13"/>
  </w:num>
  <w:num w:numId="25">
    <w:abstractNumId w:val="8"/>
  </w:num>
  <w:num w:numId="26">
    <w:abstractNumId w:val="12"/>
  </w:num>
  <w:num w:numId="27">
    <w:abstractNumId w:val="3"/>
  </w:num>
  <w:num w:numId="28">
    <w:abstractNumId w:val="28"/>
  </w:num>
  <w:num w:numId="29">
    <w:abstractNumId w:val="2"/>
  </w:num>
  <w:num w:numId="30">
    <w:abstractNumId w:val="4"/>
  </w:num>
  <w:num w:numId="31">
    <w:abstractNumId w:val="18"/>
  </w:num>
  <w:num w:numId="32">
    <w:abstractNumId w:val="14"/>
  </w:num>
  <w:num w:numId="33">
    <w:abstractNumId w:val="17"/>
  </w:num>
  <w:num w:numId="34">
    <w:abstractNumId w:val="19"/>
  </w:num>
  <w:num w:numId="35">
    <w:abstractNumId w:val="3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49"/>
    <w:rsid w:val="00037C17"/>
    <w:rsid w:val="000444E4"/>
    <w:rsid w:val="00060931"/>
    <w:rsid w:val="00061F22"/>
    <w:rsid w:val="000753A6"/>
    <w:rsid w:val="00084EC9"/>
    <w:rsid w:val="000A05DA"/>
    <w:rsid w:val="000C3DB5"/>
    <w:rsid w:val="000C6918"/>
    <w:rsid w:val="000D6E1A"/>
    <w:rsid w:val="000E38E7"/>
    <w:rsid w:val="000E4E2C"/>
    <w:rsid w:val="000E6911"/>
    <w:rsid w:val="000F2C04"/>
    <w:rsid w:val="000F647C"/>
    <w:rsid w:val="001130F4"/>
    <w:rsid w:val="001247A2"/>
    <w:rsid w:val="0013048D"/>
    <w:rsid w:val="001446CA"/>
    <w:rsid w:val="0016781F"/>
    <w:rsid w:val="00173A85"/>
    <w:rsid w:val="00186349"/>
    <w:rsid w:val="00191BB3"/>
    <w:rsid w:val="00195DA3"/>
    <w:rsid w:val="001A4DF6"/>
    <w:rsid w:val="001D151F"/>
    <w:rsid w:val="001D7930"/>
    <w:rsid w:val="001E5E8C"/>
    <w:rsid w:val="001E6E45"/>
    <w:rsid w:val="00233D38"/>
    <w:rsid w:val="00257EF4"/>
    <w:rsid w:val="00272732"/>
    <w:rsid w:val="00282EDB"/>
    <w:rsid w:val="002A4043"/>
    <w:rsid w:val="002A6789"/>
    <w:rsid w:val="002A7299"/>
    <w:rsid w:val="002B655C"/>
    <w:rsid w:val="002E2013"/>
    <w:rsid w:val="002E33CF"/>
    <w:rsid w:val="00310EF5"/>
    <w:rsid w:val="003574AD"/>
    <w:rsid w:val="00357AD3"/>
    <w:rsid w:val="0037290E"/>
    <w:rsid w:val="00377057"/>
    <w:rsid w:val="0039478C"/>
    <w:rsid w:val="003B13AC"/>
    <w:rsid w:val="003B749F"/>
    <w:rsid w:val="003E6BA2"/>
    <w:rsid w:val="003E7550"/>
    <w:rsid w:val="0044419B"/>
    <w:rsid w:val="00452415"/>
    <w:rsid w:val="00454CC5"/>
    <w:rsid w:val="00456939"/>
    <w:rsid w:val="004617BE"/>
    <w:rsid w:val="00482974"/>
    <w:rsid w:val="004932CD"/>
    <w:rsid w:val="00496CC9"/>
    <w:rsid w:val="004A2292"/>
    <w:rsid w:val="004A331B"/>
    <w:rsid w:val="004A521B"/>
    <w:rsid w:val="004E633D"/>
    <w:rsid w:val="004F1BCF"/>
    <w:rsid w:val="004F246C"/>
    <w:rsid w:val="004F4E27"/>
    <w:rsid w:val="00512790"/>
    <w:rsid w:val="005279F3"/>
    <w:rsid w:val="00536F8E"/>
    <w:rsid w:val="00545070"/>
    <w:rsid w:val="00552D4C"/>
    <w:rsid w:val="005544AE"/>
    <w:rsid w:val="00557AD0"/>
    <w:rsid w:val="00562856"/>
    <w:rsid w:val="005C2D48"/>
    <w:rsid w:val="005C6A98"/>
    <w:rsid w:val="005E4A10"/>
    <w:rsid w:val="005E5E2E"/>
    <w:rsid w:val="005F3EB2"/>
    <w:rsid w:val="005F6774"/>
    <w:rsid w:val="00621761"/>
    <w:rsid w:val="006529F8"/>
    <w:rsid w:val="006667D7"/>
    <w:rsid w:val="00667549"/>
    <w:rsid w:val="00694345"/>
    <w:rsid w:val="00695811"/>
    <w:rsid w:val="006B6551"/>
    <w:rsid w:val="006D5636"/>
    <w:rsid w:val="006E7CC9"/>
    <w:rsid w:val="00702F92"/>
    <w:rsid w:val="007228A3"/>
    <w:rsid w:val="00725C72"/>
    <w:rsid w:val="00737130"/>
    <w:rsid w:val="007448D5"/>
    <w:rsid w:val="00744F4B"/>
    <w:rsid w:val="007515D4"/>
    <w:rsid w:val="007550E7"/>
    <w:rsid w:val="007672BF"/>
    <w:rsid w:val="007A7490"/>
    <w:rsid w:val="007B5796"/>
    <w:rsid w:val="007C0D2E"/>
    <w:rsid w:val="007C25B9"/>
    <w:rsid w:val="007C5D6F"/>
    <w:rsid w:val="007D59AF"/>
    <w:rsid w:val="007E225F"/>
    <w:rsid w:val="007E7840"/>
    <w:rsid w:val="007F5FE5"/>
    <w:rsid w:val="008124F5"/>
    <w:rsid w:val="00836446"/>
    <w:rsid w:val="00865B8E"/>
    <w:rsid w:val="008671AE"/>
    <w:rsid w:val="00873FF6"/>
    <w:rsid w:val="008822F6"/>
    <w:rsid w:val="008A0187"/>
    <w:rsid w:val="008C54F0"/>
    <w:rsid w:val="008D6973"/>
    <w:rsid w:val="008D73F3"/>
    <w:rsid w:val="008E3DEC"/>
    <w:rsid w:val="0090230A"/>
    <w:rsid w:val="00925554"/>
    <w:rsid w:val="009311E2"/>
    <w:rsid w:val="0095440E"/>
    <w:rsid w:val="00964399"/>
    <w:rsid w:val="00972AA2"/>
    <w:rsid w:val="009D48F4"/>
    <w:rsid w:val="009F6996"/>
    <w:rsid w:val="009F707F"/>
    <w:rsid w:val="00A20AE0"/>
    <w:rsid w:val="00A33142"/>
    <w:rsid w:val="00A35CF0"/>
    <w:rsid w:val="00A46D4A"/>
    <w:rsid w:val="00A8686F"/>
    <w:rsid w:val="00A93C2F"/>
    <w:rsid w:val="00AA2464"/>
    <w:rsid w:val="00AA4524"/>
    <w:rsid w:val="00AC2F67"/>
    <w:rsid w:val="00AE09A9"/>
    <w:rsid w:val="00AF6587"/>
    <w:rsid w:val="00B007D2"/>
    <w:rsid w:val="00B236B3"/>
    <w:rsid w:val="00B34D4E"/>
    <w:rsid w:val="00B7431E"/>
    <w:rsid w:val="00B80438"/>
    <w:rsid w:val="00B8667C"/>
    <w:rsid w:val="00B900DB"/>
    <w:rsid w:val="00BD594D"/>
    <w:rsid w:val="00BF2194"/>
    <w:rsid w:val="00C03873"/>
    <w:rsid w:val="00C07613"/>
    <w:rsid w:val="00C07653"/>
    <w:rsid w:val="00C20E18"/>
    <w:rsid w:val="00C3175A"/>
    <w:rsid w:val="00C62E9D"/>
    <w:rsid w:val="00C77003"/>
    <w:rsid w:val="00C773FE"/>
    <w:rsid w:val="00C863A1"/>
    <w:rsid w:val="00CB2B36"/>
    <w:rsid w:val="00CC1568"/>
    <w:rsid w:val="00CD4B7F"/>
    <w:rsid w:val="00CD5F87"/>
    <w:rsid w:val="00CE2EE8"/>
    <w:rsid w:val="00CE3769"/>
    <w:rsid w:val="00D050ED"/>
    <w:rsid w:val="00D06860"/>
    <w:rsid w:val="00D279F4"/>
    <w:rsid w:val="00D3130D"/>
    <w:rsid w:val="00D34197"/>
    <w:rsid w:val="00D3791C"/>
    <w:rsid w:val="00D47951"/>
    <w:rsid w:val="00D76716"/>
    <w:rsid w:val="00D900ED"/>
    <w:rsid w:val="00DA4539"/>
    <w:rsid w:val="00DB31F2"/>
    <w:rsid w:val="00DD0AE3"/>
    <w:rsid w:val="00DD2EFD"/>
    <w:rsid w:val="00DE32EE"/>
    <w:rsid w:val="00DF3FA5"/>
    <w:rsid w:val="00E029C2"/>
    <w:rsid w:val="00E065F3"/>
    <w:rsid w:val="00E119E7"/>
    <w:rsid w:val="00E11A32"/>
    <w:rsid w:val="00E13D17"/>
    <w:rsid w:val="00E3206F"/>
    <w:rsid w:val="00E65D54"/>
    <w:rsid w:val="00E6660B"/>
    <w:rsid w:val="00E86627"/>
    <w:rsid w:val="00E96AE3"/>
    <w:rsid w:val="00EA1B82"/>
    <w:rsid w:val="00EA7707"/>
    <w:rsid w:val="00EB7B0F"/>
    <w:rsid w:val="00EC4E45"/>
    <w:rsid w:val="00EE4640"/>
    <w:rsid w:val="00F04EE4"/>
    <w:rsid w:val="00F24983"/>
    <w:rsid w:val="00F52911"/>
    <w:rsid w:val="00F53C7D"/>
    <w:rsid w:val="00F95AA8"/>
    <w:rsid w:val="00FA2407"/>
    <w:rsid w:val="00FC374F"/>
    <w:rsid w:val="00FF291A"/>
    <w:rsid w:val="00FF5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D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49"/>
  </w:style>
  <w:style w:type="paragraph" w:styleId="Heading3">
    <w:name w:val="heading 3"/>
    <w:basedOn w:val="Normal"/>
    <w:next w:val="Normal"/>
    <w:link w:val="Heading3Char"/>
    <w:uiPriority w:val="99"/>
    <w:unhideWhenUsed/>
    <w:qFormat/>
    <w:rsid w:val="008D73F3"/>
    <w:pPr>
      <w:keepNext/>
      <w:spacing w:before="240" w:after="60" w:line="240" w:lineRule="auto"/>
      <w:outlineLvl w:val="2"/>
    </w:pPr>
    <w:rPr>
      <w:rFonts w:ascii="Gill Sans MT" w:eastAsia="Times New Roman" w:hAnsi="Gill Sans MT"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549"/>
    <w:rPr>
      <w:strike w:val="0"/>
      <w:dstrike w:val="0"/>
      <w:color w:val="3A3A3A"/>
      <w:u w:val="none"/>
      <w:effect w:val="none"/>
    </w:rPr>
  </w:style>
  <w:style w:type="paragraph" w:styleId="ListParagraph">
    <w:name w:val="List Paragraph"/>
    <w:basedOn w:val="Normal"/>
    <w:uiPriority w:val="34"/>
    <w:qFormat/>
    <w:rsid w:val="00667549"/>
    <w:pPr>
      <w:ind w:left="720"/>
      <w:contextualSpacing/>
    </w:pPr>
  </w:style>
  <w:style w:type="character" w:styleId="CommentReference">
    <w:name w:val="annotation reference"/>
    <w:basedOn w:val="DefaultParagraphFont"/>
    <w:uiPriority w:val="99"/>
    <w:semiHidden/>
    <w:unhideWhenUsed/>
    <w:rsid w:val="00667549"/>
    <w:rPr>
      <w:sz w:val="16"/>
      <w:szCs w:val="16"/>
    </w:rPr>
  </w:style>
  <w:style w:type="paragraph" w:styleId="CommentText">
    <w:name w:val="annotation text"/>
    <w:basedOn w:val="Normal"/>
    <w:link w:val="CommentTextChar"/>
    <w:uiPriority w:val="99"/>
    <w:unhideWhenUsed/>
    <w:rsid w:val="00667549"/>
    <w:pPr>
      <w:spacing w:line="240" w:lineRule="auto"/>
    </w:pPr>
    <w:rPr>
      <w:sz w:val="20"/>
      <w:szCs w:val="20"/>
    </w:rPr>
  </w:style>
  <w:style w:type="character" w:customStyle="1" w:styleId="CommentTextChar">
    <w:name w:val="Comment Text Char"/>
    <w:basedOn w:val="DefaultParagraphFont"/>
    <w:link w:val="CommentText"/>
    <w:uiPriority w:val="99"/>
    <w:rsid w:val="00667549"/>
    <w:rPr>
      <w:sz w:val="20"/>
      <w:szCs w:val="20"/>
    </w:rPr>
  </w:style>
  <w:style w:type="paragraph" w:styleId="BalloonText">
    <w:name w:val="Balloon Text"/>
    <w:basedOn w:val="Normal"/>
    <w:link w:val="BalloonTextChar"/>
    <w:uiPriority w:val="99"/>
    <w:semiHidden/>
    <w:unhideWhenUsed/>
    <w:rsid w:val="0066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549"/>
    <w:rPr>
      <w:rFonts w:ascii="Tahoma" w:hAnsi="Tahoma" w:cs="Tahoma"/>
      <w:sz w:val="16"/>
      <w:szCs w:val="16"/>
    </w:rPr>
  </w:style>
  <w:style w:type="table" w:styleId="TableGrid">
    <w:name w:val="Table Grid"/>
    <w:basedOn w:val="TableNormal"/>
    <w:uiPriority w:val="59"/>
    <w:rsid w:val="00A9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3C2F"/>
    <w:rPr>
      <w:b/>
      <w:bCs/>
    </w:rPr>
  </w:style>
  <w:style w:type="character" w:customStyle="1" w:styleId="CommentSubjectChar">
    <w:name w:val="Comment Subject Char"/>
    <w:basedOn w:val="CommentTextChar"/>
    <w:link w:val="CommentSubject"/>
    <w:uiPriority w:val="99"/>
    <w:semiHidden/>
    <w:rsid w:val="00A93C2F"/>
    <w:rPr>
      <w:b/>
      <w:bCs/>
      <w:sz w:val="20"/>
      <w:szCs w:val="20"/>
    </w:rPr>
  </w:style>
  <w:style w:type="paragraph" w:styleId="NormalWeb">
    <w:name w:val="Normal (Web)"/>
    <w:basedOn w:val="Normal"/>
    <w:uiPriority w:val="99"/>
    <w:unhideWhenUsed/>
    <w:rsid w:val="00A8686F"/>
    <w:pPr>
      <w:spacing w:before="100" w:beforeAutospacing="1" w:after="100" w:afterAutospacing="1" w:line="240" w:lineRule="auto"/>
    </w:pPr>
    <w:rPr>
      <w:rFonts w:ascii="Times New Roman" w:eastAsia="Times New Roman" w:hAnsi="Times New Roman" w:cs="Times New Roman"/>
      <w:sz w:val="23"/>
      <w:szCs w:val="23"/>
      <w:lang w:eastAsia="en-GB"/>
    </w:rPr>
  </w:style>
  <w:style w:type="character" w:styleId="Strong">
    <w:name w:val="Strong"/>
    <w:uiPriority w:val="22"/>
    <w:qFormat/>
    <w:rsid w:val="00A46D4A"/>
    <w:rPr>
      <w:b/>
      <w:bCs/>
    </w:rPr>
  </w:style>
  <w:style w:type="character" w:styleId="FollowedHyperlink">
    <w:name w:val="FollowedHyperlink"/>
    <w:basedOn w:val="DefaultParagraphFont"/>
    <w:uiPriority w:val="99"/>
    <w:semiHidden/>
    <w:unhideWhenUsed/>
    <w:rsid w:val="006E7CC9"/>
    <w:rPr>
      <w:color w:val="800080" w:themeColor="followedHyperlink"/>
      <w:u w:val="single"/>
    </w:rPr>
  </w:style>
  <w:style w:type="paragraph" w:styleId="Revision">
    <w:name w:val="Revision"/>
    <w:hidden/>
    <w:uiPriority w:val="99"/>
    <w:semiHidden/>
    <w:rsid w:val="00865B8E"/>
    <w:pPr>
      <w:spacing w:after="0" w:line="240" w:lineRule="auto"/>
    </w:pPr>
  </w:style>
  <w:style w:type="paragraph" w:styleId="FootnoteText">
    <w:name w:val="footnote text"/>
    <w:basedOn w:val="Normal"/>
    <w:link w:val="FootnoteTextChar"/>
    <w:uiPriority w:val="99"/>
    <w:semiHidden/>
    <w:unhideWhenUsed/>
    <w:rsid w:val="0069581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95811"/>
    <w:rPr>
      <w:rFonts w:ascii="Calibri" w:eastAsia="Calibri" w:hAnsi="Calibri" w:cs="Times New Roman"/>
      <w:sz w:val="20"/>
      <w:szCs w:val="20"/>
    </w:rPr>
  </w:style>
  <w:style w:type="character" w:styleId="FootnoteReference">
    <w:name w:val="footnote reference"/>
    <w:basedOn w:val="DefaultParagraphFont"/>
    <w:uiPriority w:val="99"/>
    <w:unhideWhenUsed/>
    <w:rsid w:val="00695811"/>
    <w:rPr>
      <w:vertAlign w:val="superscript"/>
    </w:rPr>
  </w:style>
  <w:style w:type="character" w:customStyle="1" w:styleId="Heading3Char">
    <w:name w:val="Heading 3 Char"/>
    <w:basedOn w:val="DefaultParagraphFont"/>
    <w:link w:val="Heading3"/>
    <w:uiPriority w:val="99"/>
    <w:rsid w:val="008D73F3"/>
    <w:rPr>
      <w:rFonts w:ascii="Gill Sans MT" w:eastAsia="Times New Roman" w:hAnsi="Gill Sans MT" w:cs="Times New Roman"/>
      <w:b/>
      <w:bCs/>
      <w:sz w:val="24"/>
      <w:szCs w:val="26"/>
      <w:lang w:eastAsia="en-GB"/>
    </w:rPr>
  </w:style>
  <w:style w:type="paragraph" w:styleId="PlainText">
    <w:name w:val="Plain Text"/>
    <w:basedOn w:val="Normal"/>
    <w:link w:val="PlainTextChar"/>
    <w:uiPriority w:val="99"/>
    <w:unhideWhenUsed/>
    <w:rsid w:val="008D73F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D73F3"/>
    <w:rPr>
      <w:rFonts w:ascii="Calibri" w:hAnsi="Calibri" w:cs="Calibri"/>
    </w:rPr>
  </w:style>
  <w:style w:type="paragraph" w:styleId="Header">
    <w:name w:val="header"/>
    <w:basedOn w:val="Normal"/>
    <w:link w:val="HeaderChar"/>
    <w:uiPriority w:val="99"/>
    <w:unhideWhenUsed/>
    <w:rsid w:val="008D7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F3"/>
  </w:style>
  <w:style w:type="paragraph" w:styleId="Footer">
    <w:name w:val="footer"/>
    <w:basedOn w:val="Normal"/>
    <w:link w:val="FooterChar"/>
    <w:uiPriority w:val="99"/>
    <w:unhideWhenUsed/>
    <w:rsid w:val="008D7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F3"/>
  </w:style>
  <w:style w:type="paragraph" w:styleId="NoSpacing">
    <w:name w:val="No Spacing"/>
    <w:uiPriority w:val="1"/>
    <w:qFormat/>
    <w:rsid w:val="00562856"/>
    <w:pPr>
      <w:spacing w:after="0" w:line="240" w:lineRule="auto"/>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49"/>
  </w:style>
  <w:style w:type="paragraph" w:styleId="Heading3">
    <w:name w:val="heading 3"/>
    <w:basedOn w:val="Normal"/>
    <w:next w:val="Normal"/>
    <w:link w:val="Heading3Char"/>
    <w:uiPriority w:val="99"/>
    <w:unhideWhenUsed/>
    <w:qFormat/>
    <w:rsid w:val="008D73F3"/>
    <w:pPr>
      <w:keepNext/>
      <w:spacing w:before="240" w:after="60" w:line="240" w:lineRule="auto"/>
      <w:outlineLvl w:val="2"/>
    </w:pPr>
    <w:rPr>
      <w:rFonts w:ascii="Gill Sans MT" w:eastAsia="Times New Roman" w:hAnsi="Gill Sans MT"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549"/>
    <w:rPr>
      <w:strike w:val="0"/>
      <w:dstrike w:val="0"/>
      <w:color w:val="3A3A3A"/>
      <w:u w:val="none"/>
      <w:effect w:val="none"/>
    </w:rPr>
  </w:style>
  <w:style w:type="paragraph" w:styleId="ListParagraph">
    <w:name w:val="List Paragraph"/>
    <w:basedOn w:val="Normal"/>
    <w:uiPriority w:val="34"/>
    <w:qFormat/>
    <w:rsid w:val="00667549"/>
    <w:pPr>
      <w:ind w:left="720"/>
      <w:contextualSpacing/>
    </w:pPr>
  </w:style>
  <w:style w:type="character" w:styleId="CommentReference">
    <w:name w:val="annotation reference"/>
    <w:basedOn w:val="DefaultParagraphFont"/>
    <w:uiPriority w:val="99"/>
    <w:semiHidden/>
    <w:unhideWhenUsed/>
    <w:rsid w:val="00667549"/>
    <w:rPr>
      <w:sz w:val="16"/>
      <w:szCs w:val="16"/>
    </w:rPr>
  </w:style>
  <w:style w:type="paragraph" w:styleId="CommentText">
    <w:name w:val="annotation text"/>
    <w:basedOn w:val="Normal"/>
    <w:link w:val="CommentTextChar"/>
    <w:uiPriority w:val="99"/>
    <w:unhideWhenUsed/>
    <w:rsid w:val="00667549"/>
    <w:pPr>
      <w:spacing w:line="240" w:lineRule="auto"/>
    </w:pPr>
    <w:rPr>
      <w:sz w:val="20"/>
      <w:szCs w:val="20"/>
    </w:rPr>
  </w:style>
  <w:style w:type="character" w:customStyle="1" w:styleId="CommentTextChar">
    <w:name w:val="Comment Text Char"/>
    <w:basedOn w:val="DefaultParagraphFont"/>
    <w:link w:val="CommentText"/>
    <w:uiPriority w:val="99"/>
    <w:rsid w:val="00667549"/>
    <w:rPr>
      <w:sz w:val="20"/>
      <w:szCs w:val="20"/>
    </w:rPr>
  </w:style>
  <w:style w:type="paragraph" w:styleId="BalloonText">
    <w:name w:val="Balloon Text"/>
    <w:basedOn w:val="Normal"/>
    <w:link w:val="BalloonTextChar"/>
    <w:uiPriority w:val="99"/>
    <w:semiHidden/>
    <w:unhideWhenUsed/>
    <w:rsid w:val="0066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549"/>
    <w:rPr>
      <w:rFonts w:ascii="Tahoma" w:hAnsi="Tahoma" w:cs="Tahoma"/>
      <w:sz w:val="16"/>
      <w:szCs w:val="16"/>
    </w:rPr>
  </w:style>
  <w:style w:type="table" w:styleId="TableGrid">
    <w:name w:val="Table Grid"/>
    <w:basedOn w:val="TableNormal"/>
    <w:uiPriority w:val="59"/>
    <w:rsid w:val="00A9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3C2F"/>
    <w:rPr>
      <w:b/>
      <w:bCs/>
    </w:rPr>
  </w:style>
  <w:style w:type="character" w:customStyle="1" w:styleId="CommentSubjectChar">
    <w:name w:val="Comment Subject Char"/>
    <w:basedOn w:val="CommentTextChar"/>
    <w:link w:val="CommentSubject"/>
    <w:uiPriority w:val="99"/>
    <w:semiHidden/>
    <w:rsid w:val="00A93C2F"/>
    <w:rPr>
      <w:b/>
      <w:bCs/>
      <w:sz w:val="20"/>
      <w:szCs w:val="20"/>
    </w:rPr>
  </w:style>
  <w:style w:type="paragraph" w:styleId="NormalWeb">
    <w:name w:val="Normal (Web)"/>
    <w:basedOn w:val="Normal"/>
    <w:uiPriority w:val="99"/>
    <w:unhideWhenUsed/>
    <w:rsid w:val="00A8686F"/>
    <w:pPr>
      <w:spacing w:before="100" w:beforeAutospacing="1" w:after="100" w:afterAutospacing="1" w:line="240" w:lineRule="auto"/>
    </w:pPr>
    <w:rPr>
      <w:rFonts w:ascii="Times New Roman" w:eastAsia="Times New Roman" w:hAnsi="Times New Roman" w:cs="Times New Roman"/>
      <w:sz w:val="23"/>
      <w:szCs w:val="23"/>
      <w:lang w:eastAsia="en-GB"/>
    </w:rPr>
  </w:style>
  <w:style w:type="character" w:styleId="Strong">
    <w:name w:val="Strong"/>
    <w:uiPriority w:val="22"/>
    <w:qFormat/>
    <w:rsid w:val="00A46D4A"/>
    <w:rPr>
      <w:b/>
      <w:bCs/>
    </w:rPr>
  </w:style>
  <w:style w:type="character" w:styleId="FollowedHyperlink">
    <w:name w:val="FollowedHyperlink"/>
    <w:basedOn w:val="DefaultParagraphFont"/>
    <w:uiPriority w:val="99"/>
    <w:semiHidden/>
    <w:unhideWhenUsed/>
    <w:rsid w:val="006E7CC9"/>
    <w:rPr>
      <w:color w:val="800080" w:themeColor="followedHyperlink"/>
      <w:u w:val="single"/>
    </w:rPr>
  </w:style>
  <w:style w:type="paragraph" w:styleId="Revision">
    <w:name w:val="Revision"/>
    <w:hidden/>
    <w:uiPriority w:val="99"/>
    <w:semiHidden/>
    <w:rsid w:val="00865B8E"/>
    <w:pPr>
      <w:spacing w:after="0" w:line="240" w:lineRule="auto"/>
    </w:pPr>
  </w:style>
  <w:style w:type="paragraph" w:styleId="FootnoteText">
    <w:name w:val="footnote text"/>
    <w:basedOn w:val="Normal"/>
    <w:link w:val="FootnoteTextChar"/>
    <w:uiPriority w:val="99"/>
    <w:semiHidden/>
    <w:unhideWhenUsed/>
    <w:rsid w:val="0069581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95811"/>
    <w:rPr>
      <w:rFonts w:ascii="Calibri" w:eastAsia="Calibri" w:hAnsi="Calibri" w:cs="Times New Roman"/>
      <w:sz w:val="20"/>
      <w:szCs w:val="20"/>
    </w:rPr>
  </w:style>
  <w:style w:type="character" w:styleId="FootnoteReference">
    <w:name w:val="footnote reference"/>
    <w:basedOn w:val="DefaultParagraphFont"/>
    <w:uiPriority w:val="99"/>
    <w:unhideWhenUsed/>
    <w:rsid w:val="00695811"/>
    <w:rPr>
      <w:vertAlign w:val="superscript"/>
    </w:rPr>
  </w:style>
  <w:style w:type="character" w:customStyle="1" w:styleId="Heading3Char">
    <w:name w:val="Heading 3 Char"/>
    <w:basedOn w:val="DefaultParagraphFont"/>
    <w:link w:val="Heading3"/>
    <w:uiPriority w:val="99"/>
    <w:rsid w:val="008D73F3"/>
    <w:rPr>
      <w:rFonts w:ascii="Gill Sans MT" w:eastAsia="Times New Roman" w:hAnsi="Gill Sans MT" w:cs="Times New Roman"/>
      <w:b/>
      <w:bCs/>
      <w:sz w:val="24"/>
      <w:szCs w:val="26"/>
      <w:lang w:eastAsia="en-GB"/>
    </w:rPr>
  </w:style>
  <w:style w:type="paragraph" w:styleId="PlainText">
    <w:name w:val="Plain Text"/>
    <w:basedOn w:val="Normal"/>
    <w:link w:val="PlainTextChar"/>
    <w:uiPriority w:val="99"/>
    <w:unhideWhenUsed/>
    <w:rsid w:val="008D73F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D73F3"/>
    <w:rPr>
      <w:rFonts w:ascii="Calibri" w:hAnsi="Calibri" w:cs="Calibri"/>
    </w:rPr>
  </w:style>
  <w:style w:type="paragraph" w:styleId="Header">
    <w:name w:val="header"/>
    <w:basedOn w:val="Normal"/>
    <w:link w:val="HeaderChar"/>
    <w:uiPriority w:val="99"/>
    <w:unhideWhenUsed/>
    <w:rsid w:val="008D7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F3"/>
  </w:style>
  <w:style w:type="paragraph" w:styleId="Footer">
    <w:name w:val="footer"/>
    <w:basedOn w:val="Normal"/>
    <w:link w:val="FooterChar"/>
    <w:uiPriority w:val="99"/>
    <w:unhideWhenUsed/>
    <w:rsid w:val="008D7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F3"/>
  </w:style>
  <w:style w:type="paragraph" w:styleId="NoSpacing">
    <w:name w:val="No Spacing"/>
    <w:uiPriority w:val="1"/>
    <w:qFormat/>
    <w:rsid w:val="00562856"/>
    <w:pPr>
      <w:spacing w:after="0" w:line="240" w:lineRule="auto"/>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2819">
      <w:bodyDiv w:val="1"/>
      <w:marLeft w:val="0"/>
      <w:marRight w:val="0"/>
      <w:marTop w:val="0"/>
      <w:marBottom w:val="0"/>
      <w:divBdr>
        <w:top w:val="none" w:sz="0" w:space="0" w:color="auto"/>
        <w:left w:val="none" w:sz="0" w:space="0" w:color="auto"/>
        <w:bottom w:val="none" w:sz="0" w:space="0" w:color="auto"/>
        <w:right w:val="none" w:sz="0" w:space="0" w:color="auto"/>
      </w:divBdr>
    </w:div>
    <w:div w:id="341511269">
      <w:bodyDiv w:val="1"/>
      <w:marLeft w:val="0"/>
      <w:marRight w:val="0"/>
      <w:marTop w:val="0"/>
      <w:marBottom w:val="0"/>
      <w:divBdr>
        <w:top w:val="none" w:sz="0" w:space="0" w:color="auto"/>
        <w:left w:val="none" w:sz="0" w:space="0" w:color="auto"/>
        <w:bottom w:val="none" w:sz="0" w:space="0" w:color="auto"/>
        <w:right w:val="none" w:sz="0" w:space="0" w:color="auto"/>
      </w:divBdr>
      <w:divsChild>
        <w:div w:id="470753483">
          <w:marLeft w:val="0"/>
          <w:marRight w:val="0"/>
          <w:marTop w:val="0"/>
          <w:marBottom w:val="0"/>
          <w:divBdr>
            <w:top w:val="none" w:sz="0" w:space="0" w:color="auto"/>
            <w:left w:val="none" w:sz="0" w:space="0" w:color="auto"/>
            <w:bottom w:val="none" w:sz="0" w:space="0" w:color="auto"/>
            <w:right w:val="none" w:sz="0" w:space="0" w:color="auto"/>
          </w:divBdr>
        </w:div>
      </w:divsChild>
    </w:div>
    <w:div w:id="352197009">
      <w:bodyDiv w:val="1"/>
      <w:marLeft w:val="0"/>
      <w:marRight w:val="0"/>
      <w:marTop w:val="0"/>
      <w:marBottom w:val="0"/>
      <w:divBdr>
        <w:top w:val="none" w:sz="0" w:space="0" w:color="auto"/>
        <w:left w:val="none" w:sz="0" w:space="0" w:color="auto"/>
        <w:bottom w:val="none" w:sz="0" w:space="0" w:color="auto"/>
        <w:right w:val="none" w:sz="0" w:space="0" w:color="auto"/>
      </w:divBdr>
    </w:div>
    <w:div w:id="455215816">
      <w:bodyDiv w:val="1"/>
      <w:marLeft w:val="0"/>
      <w:marRight w:val="0"/>
      <w:marTop w:val="0"/>
      <w:marBottom w:val="0"/>
      <w:divBdr>
        <w:top w:val="none" w:sz="0" w:space="0" w:color="auto"/>
        <w:left w:val="none" w:sz="0" w:space="0" w:color="auto"/>
        <w:bottom w:val="none" w:sz="0" w:space="0" w:color="auto"/>
        <w:right w:val="none" w:sz="0" w:space="0" w:color="auto"/>
      </w:divBdr>
    </w:div>
    <w:div w:id="641234474">
      <w:bodyDiv w:val="1"/>
      <w:marLeft w:val="0"/>
      <w:marRight w:val="0"/>
      <w:marTop w:val="0"/>
      <w:marBottom w:val="0"/>
      <w:divBdr>
        <w:top w:val="none" w:sz="0" w:space="0" w:color="auto"/>
        <w:left w:val="none" w:sz="0" w:space="0" w:color="auto"/>
        <w:bottom w:val="none" w:sz="0" w:space="0" w:color="auto"/>
        <w:right w:val="none" w:sz="0" w:space="0" w:color="auto"/>
      </w:divBdr>
    </w:div>
    <w:div w:id="976178689">
      <w:bodyDiv w:val="1"/>
      <w:marLeft w:val="0"/>
      <w:marRight w:val="0"/>
      <w:marTop w:val="0"/>
      <w:marBottom w:val="0"/>
      <w:divBdr>
        <w:top w:val="none" w:sz="0" w:space="0" w:color="auto"/>
        <w:left w:val="none" w:sz="0" w:space="0" w:color="auto"/>
        <w:bottom w:val="none" w:sz="0" w:space="0" w:color="auto"/>
        <w:right w:val="none" w:sz="0" w:space="0" w:color="auto"/>
      </w:divBdr>
    </w:div>
    <w:div w:id="1035500426">
      <w:bodyDiv w:val="1"/>
      <w:marLeft w:val="0"/>
      <w:marRight w:val="0"/>
      <w:marTop w:val="0"/>
      <w:marBottom w:val="0"/>
      <w:divBdr>
        <w:top w:val="none" w:sz="0" w:space="0" w:color="auto"/>
        <w:left w:val="none" w:sz="0" w:space="0" w:color="auto"/>
        <w:bottom w:val="none" w:sz="0" w:space="0" w:color="auto"/>
        <w:right w:val="none" w:sz="0" w:space="0" w:color="auto"/>
      </w:divBdr>
    </w:div>
    <w:div w:id="1068111734">
      <w:bodyDiv w:val="1"/>
      <w:marLeft w:val="0"/>
      <w:marRight w:val="0"/>
      <w:marTop w:val="0"/>
      <w:marBottom w:val="0"/>
      <w:divBdr>
        <w:top w:val="none" w:sz="0" w:space="0" w:color="auto"/>
        <w:left w:val="none" w:sz="0" w:space="0" w:color="auto"/>
        <w:bottom w:val="none" w:sz="0" w:space="0" w:color="auto"/>
        <w:right w:val="none" w:sz="0" w:space="0" w:color="auto"/>
      </w:divBdr>
    </w:div>
    <w:div w:id="1219242619">
      <w:bodyDiv w:val="1"/>
      <w:marLeft w:val="0"/>
      <w:marRight w:val="0"/>
      <w:marTop w:val="0"/>
      <w:marBottom w:val="0"/>
      <w:divBdr>
        <w:top w:val="none" w:sz="0" w:space="0" w:color="auto"/>
        <w:left w:val="none" w:sz="0" w:space="0" w:color="auto"/>
        <w:bottom w:val="none" w:sz="0" w:space="0" w:color="auto"/>
        <w:right w:val="none" w:sz="0" w:space="0" w:color="auto"/>
      </w:divBdr>
    </w:div>
    <w:div w:id="1377897915">
      <w:bodyDiv w:val="1"/>
      <w:marLeft w:val="0"/>
      <w:marRight w:val="0"/>
      <w:marTop w:val="0"/>
      <w:marBottom w:val="0"/>
      <w:divBdr>
        <w:top w:val="none" w:sz="0" w:space="0" w:color="auto"/>
        <w:left w:val="none" w:sz="0" w:space="0" w:color="auto"/>
        <w:bottom w:val="none" w:sz="0" w:space="0" w:color="auto"/>
        <w:right w:val="none" w:sz="0" w:space="0" w:color="auto"/>
      </w:divBdr>
    </w:div>
    <w:div w:id="1436441404">
      <w:bodyDiv w:val="1"/>
      <w:marLeft w:val="0"/>
      <w:marRight w:val="0"/>
      <w:marTop w:val="0"/>
      <w:marBottom w:val="0"/>
      <w:divBdr>
        <w:top w:val="none" w:sz="0" w:space="0" w:color="auto"/>
        <w:left w:val="none" w:sz="0" w:space="0" w:color="auto"/>
        <w:bottom w:val="none" w:sz="0" w:space="0" w:color="auto"/>
        <w:right w:val="none" w:sz="0" w:space="0" w:color="auto"/>
      </w:divBdr>
    </w:div>
    <w:div w:id="1445340854">
      <w:bodyDiv w:val="1"/>
      <w:marLeft w:val="0"/>
      <w:marRight w:val="0"/>
      <w:marTop w:val="0"/>
      <w:marBottom w:val="0"/>
      <w:divBdr>
        <w:top w:val="none" w:sz="0" w:space="0" w:color="auto"/>
        <w:left w:val="none" w:sz="0" w:space="0" w:color="auto"/>
        <w:bottom w:val="none" w:sz="0" w:space="0" w:color="auto"/>
        <w:right w:val="none" w:sz="0" w:space="0" w:color="auto"/>
      </w:divBdr>
    </w:div>
    <w:div w:id="1459255390">
      <w:bodyDiv w:val="1"/>
      <w:marLeft w:val="0"/>
      <w:marRight w:val="0"/>
      <w:marTop w:val="0"/>
      <w:marBottom w:val="0"/>
      <w:divBdr>
        <w:top w:val="none" w:sz="0" w:space="0" w:color="auto"/>
        <w:left w:val="none" w:sz="0" w:space="0" w:color="auto"/>
        <w:bottom w:val="none" w:sz="0" w:space="0" w:color="auto"/>
        <w:right w:val="none" w:sz="0" w:space="0" w:color="auto"/>
      </w:divBdr>
    </w:div>
    <w:div w:id="1636062823">
      <w:bodyDiv w:val="1"/>
      <w:marLeft w:val="0"/>
      <w:marRight w:val="0"/>
      <w:marTop w:val="0"/>
      <w:marBottom w:val="0"/>
      <w:divBdr>
        <w:top w:val="none" w:sz="0" w:space="0" w:color="auto"/>
        <w:left w:val="none" w:sz="0" w:space="0" w:color="auto"/>
        <w:bottom w:val="none" w:sz="0" w:space="0" w:color="auto"/>
        <w:right w:val="none" w:sz="0" w:space="0" w:color="auto"/>
      </w:divBdr>
    </w:div>
    <w:div w:id="1637710945">
      <w:bodyDiv w:val="1"/>
      <w:marLeft w:val="0"/>
      <w:marRight w:val="0"/>
      <w:marTop w:val="0"/>
      <w:marBottom w:val="0"/>
      <w:divBdr>
        <w:top w:val="none" w:sz="0" w:space="0" w:color="auto"/>
        <w:left w:val="none" w:sz="0" w:space="0" w:color="auto"/>
        <w:bottom w:val="none" w:sz="0" w:space="0" w:color="auto"/>
        <w:right w:val="none" w:sz="0" w:space="0" w:color="auto"/>
      </w:divBdr>
    </w:div>
    <w:div w:id="1779447573">
      <w:bodyDiv w:val="1"/>
      <w:marLeft w:val="0"/>
      <w:marRight w:val="0"/>
      <w:marTop w:val="0"/>
      <w:marBottom w:val="0"/>
      <w:divBdr>
        <w:top w:val="none" w:sz="0" w:space="0" w:color="auto"/>
        <w:left w:val="none" w:sz="0" w:space="0" w:color="auto"/>
        <w:bottom w:val="none" w:sz="0" w:space="0" w:color="auto"/>
        <w:right w:val="none" w:sz="0" w:space="0" w:color="auto"/>
      </w:divBdr>
    </w:div>
    <w:div w:id="18154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cuk.ac.uk/documents/international/SEASmallResearchCallApplicationGuidance-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mailto:simlitabmas@dikti.go.id"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cuk.ac.uk/RCUK-prod/assets/documents/documents/tcfecJan2015.pdf"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je-s.rcuk.ac.uk"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newtonfund.ac.uk/about/what-is-od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lancet.com/journals/lancet/article/PIIS0140-6736(10)62181-2/fulltext?rss=yes" TargetMode="External"/><Relationship Id="rId1" Type="http://schemas.openxmlformats.org/officeDocument/2006/relationships/hyperlink" Target="http://www.thelancet.com/journals/lancet/article/PIIS0140-6736(07)61238-0/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CUK Strategy Unit" ma:contentTypeID="0x010100DD3673D5398E024C85E79D13491073B10036F3A9378FB06042B815E5FFC651A5B100FAB2663EBFADDD4D8E6EBF932D999A4F" ma:contentTypeVersion="55" ma:contentTypeDescription="" ma:contentTypeScope="" ma:versionID="4243210bd3131a1a6518412759a4d8b0">
  <xsd:schema xmlns:xsd="http://www.w3.org/2001/XMLSchema" xmlns:p="http://schemas.microsoft.com/office/2006/metadata/properties" xmlns:ns1="http://schemas.microsoft.com/sharepoint/v3" xmlns:ns2="5f67090a-b690-4b3f-9190-538c6490533a" targetNamespace="http://schemas.microsoft.com/office/2006/metadata/properties" ma:root="true" ma:fieldsID="ebd1ed7adedc801f087b2dd9c84a6311" ns1:_="" ns2:_="">
    <xsd:import namespace="http://schemas.microsoft.com/sharepoint/v3"/>
    <xsd:import namespace="5f67090a-b690-4b3f-9190-538c6490533a"/>
    <xsd:element name="properties">
      <xsd:complexType>
        <xsd:sequence>
          <xsd:element name="documentManagement">
            <xsd:complexType>
              <xsd:all>
                <xsd:element ref="ns1:Item_x0020_Status"/>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schema>
  <xsd:schema xmlns:xsd="http://www.w3.org/2001/XMLSchema" xmlns:dms="http://schemas.microsoft.com/office/2006/documentManagement/types" targetNamespace="5f67090a-b690-4b3f-9190-538c6490533a" elementFormDefault="qualified">
    <xsd:import namespace="http://schemas.microsoft.com/office/2006/documentManagement/type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04eb489c-4f71-414b-815d-c526cd42196f"/>
        </data>
      </p:CustomData>
    </p:PolicyItem>
  </p:PolicyItems>
</p:Policy>
</file>

<file path=customXml/item4.xml><?xml version="1.0" encoding="utf-8"?>
<p:properties xmlns:p="http://schemas.microsoft.com/office/2006/metadata/properties" xmlns:xsi="http://www.w3.org/2001/XMLSchema-instance">
  <documentManagement>
    <Item_x0020_Status xmlns="http://schemas.microsoft.com/sharepoint/v3">Document</Item_x0020_Status>
  </documentManagement>
</p:properties>
</file>

<file path=customXml/item5.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6521-FFE7-4077-BFB7-8CB6A66784EF}">
  <ds:schemaRefs>
    <ds:schemaRef ds:uri="http://schemas.microsoft.com/sharepoint/v3/contenttype/forms"/>
  </ds:schemaRefs>
</ds:datastoreItem>
</file>

<file path=customXml/itemProps2.xml><?xml version="1.0" encoding="utf-8"?>
<ds:datastoreItem xmlns:ds="http://schemas.openxmlformats.org/officeDocument/2006/customXml" ds:itemID="{13BD4E27-CB80-494C-BF44-07F5EBC0E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67090a-b690-4b3f-9190-538c649053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EA2B2E-D878-4030-A55A-70F80B1A8AC0}">
  <ds:schemaRefs>
    <ds:schemaRef ds:uri="office.server.policy"/>
  </ds:schemaRefs>
</ds:datastoreItem>
</file>

<file path=customXml/itemProps4.xml><?xml version="1.0" encoding="utf-8"?>
<ds:datastoreItem xmlns:ds="http://schemas.openxmlformats.org/officeDocument/2006/customXml" ds:itemID="{7E1674AC-A539-4C9D-818E-A649EA08B9DF}">
  <ds:schemaRefs>
    <ds:schemaRef ds:uri="http://purl.org/dc/terms/"/>
    <ds:schemaRef ds:uri="http://purl.org/dc/elements/1.1/"/>
    <ds:schemaRef ds:uri="5f67090a-b690-4b3f-9190-538c6490533a"/>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CDA7DFE7-B29D-4E2F-AB40-A941C676E9FE}">
  <ds:schemaRefs>
    <ds:schemaRef ds:uri="http://schemas.microsoft.com/sharepoint/events"/>
  </ds:schemaRefs>
</ds:datastoreItem>
</file>

<file path=customXml/itemProps6.xml><?xml version="1.0" encoding="utf-8"?>
<ds:datastoreItem xmlns:ds="http://schemas.openxmlformats.org/officeDocument/2006/customXml" ds:itemID="{D48F6DB4-C6B6-44CC-BAE8-CE5862CB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Mayes Amy-Rose</dc:creator>
  <cp:lastModifiedBy>MOE</cp:lastModifiedBy>
  <cp:revision>2</cp:revision>
  <dcterms:created xsi:type="dcterms:W3CDTF">2016-05-27T10:31:00Z</dcterms:created>
  <dcterms:modified xsi:type="dcterms:W3CDTF">2016-05-27T10:31:00Z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0x010100DD3673D5398E024C85E79D13491073B10036F3A9378FB06042B815E5FFC651A5B100FAB2663EBFADDD4D8E6EBF932D999A4F</vt:lpwstr>
  </property>
</Properties>
</file>